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FC3F0B" w14:textId="2D7F349B" w:rsidR="00B6068D" w:rsidRPr="00B6068D" w:rsidRDefault="00D756E7" w:rsidP="00FD7214">
      <w:pPr>
        <w:pStyle w:val="Style1"/>
        <w:pBdr>
          <w:bottom w:val="thinThickSmallGap" w:sz="12" w:space="0" w:color="817358" w:themeColor="accent2" w:themeShade="BF"/>
        </w:pBdr>
        <w:jc w:val="left"/>
        <w:rPr>
          <w:b/>
          <w:bCs/>
        </w:rPr>
      </w:pPr>
      <w:r>
        <w:rPr>
          <w:rFonts w:cs="Futura Medium"/>
          <w:noProof/>
          <w:color w:val="817358" w:themeColor="accent2" w:themeShade="BF"/>
          <w:spacing w:val="5"/>
          <w:sz w:val="28"/>
          <w:lang w:eastAsia="fr-FR"/>
        </w:rPr>
        <w:drawing>
          <wp:anchor distT="0" distB="0" distL="114300" distR="114300" simplePos="0" relativeHeight="251668480" behindDoc="0" locked="0" layoutInCell="1" allowOverlap="1" wp14:anchorId="0276D42C" wp14:editId="47088911">
            <wp:simplePos x="0" y="0"/>
            <wp:positionH relativeFrom="column">
              <wp:posOffset>5143500</wp:posOffset>
            </wp:positionH>
            <wp:positionV relativeFrom="paragraph">
              <wp:posOffset>-376555</wp:posOffset>
            </wp:positionV>
            <wp:extent cx="1536700" cy="1536700"/>
            <wp:effectExtent l="0" t="0" r="0" b="0"/>
            <wp:wrapNone/>
            <wp:docPr id="1" name="Image 1" descr="Macintosh HD:Users:Agathe:Desktop:DJCE:Actu :logo DJCE ac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gathe:Desktop:DJCE:Actu :logo DJCE act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0"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Futura Medium"/>
          <w:noProof/>
          <w:color w:val="817358" w:themeColor="accent2" w:themeShade="BF"/>
          <w:spacing w:val="5"/>
          <w:sz w:val="28"/>
          <w:lang w:eastAsia="fr-FR"/>
        </w:rPr>
        <mc:AlternateContent>
          <mc:Choice Requires="wps">
            <w:drawing>
              <wp:anchor distT="0" distB="0" distL="114300" distR="114300" simplePos="0" relativeHeight="251669504" behindDoc="0" locked="0" layoutInCell="1" allowOverlap="1" wp14:anchorId="2488DED6" wp14:editId="2813BBC2">
                <wp:simplePos x="0" y="0"/>
                <wp:positionH relativeFrom="column">
                  <wp:posOffset>5143500</wp:posOffset>
                </wp:positionH>
                <wp:positionV relativeFrom="paragraph">
                  <wp:posOffset>995045</wp:posOffset>
                </wp:positionV>
                <wp:extent cx="1600200" cy="228600"/>
                <wp:effectExtent l="0" t="0" r="0" b="0"/>
                <wp:wrapThrough wrapText="bothSides">
                  <wp:wrapPolygon edited="0">
                    <wp:start x="0" y="0"/>
                    <wp:lineTo x="0" y="19200"/>
                    <wp:lineTo x="21257" y="19200"/>
                    <wp:lineTo x="21257" y="0"/>
                    <wp:lineTo x="0" y="0"/>
                  </wp:wrapPolygon>
                </wp:wrapThrough>
                <wp:docPr id="3" name="Rectangle 3"/>
                <wp:cNvGraphicFramePr/>
                <a:graphic xmlns:a="http://schemas.openxmlformats.org/drawingml/2006/main">
                  <a:graphicData uri="http://schemas.microsoft.com/office/word/2010/wordprocessingShape">
                    <wps:wsp>
                      <wps:cNvSpPr/>
                      <wps:spPr>
                        <a:xfrm>
                          <a:off x="0" y="0"/>
                          <a:ext cx="1600200" cy="22860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424B4D9A" id="Rectangle 3" o:spid="_x0000_s1026" style="position:absolute;margin-left:405pt;margin-top:78.35pt;width:126pt;height:1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xMvdAIAAGEFAAAOAAAAZHJzL2Uyb0RvYy54bWysVFlrGzEQfi/0Pwi9N+sjTVOTdTAOKYWQ&#10;hCQlz7JWsgVajTqSvXZ/fUfaw2kaCJS+7M5ovrmPi8t9bdlOYTDgSj4+GXGmnITKuHXJfzxdfzrn&#10;LEThKmHBqZIfVOCX848fLho/UxPYgK0UMjLiwqzxJd/E6GdFEeRG1SKcgFeOhBqwFpFYXBcVioas&#10;17aYjEZnRQNYeQSpQqDXq1bI59m+1krGO62DisyWnGKL+Yv5u0rfYn4hZmsUfmNkF4b4hyhqYRw5&#10;HUxdiSjYFs1fpmojEQLoeCKhLkBrI1XOgbIZj15l87gRXuVcqDjBD2UK/8+svN3dIzNVyaecOVFT&#10;ix6oaMKtrWLTVJ7GhxmhHv09dlwgMuW611inP2XB9rmkh6Gkah+ZpMfx2WhEfeJMkmwyOSc2GS2O&#10;2h5D/KagZokoOZL3XEmxuwmxhfaQ5CyANdW1sTYzaUzU0iLbCWrwaj3ujP+Bsi5hHSSt1mB6KVJi&#10;bSqZigerEs66B6WpIin4HEiexaMTIaVysXeU0UlNk/FBcfq+YodPqirP6aA8eV950MiewcVBuTYO&#10;8C0DdghZt/i+Am3eqQQrqA40DAjtlgQvrw315EaEeC+Q1oLaSKse7+ijLTQlh47ibAP46633hKdp&#10;JSlnDa1ZycPPrUDFmf3uaI6/jk9P015m5vTzlwkx+FKyeilx23oJ1OgxHRUvM5nw0fakRqif6SIs&#10;klcSCSfJd8llxJ5Zxnb96aZItVhkGO2iF/HGPXrZdz3N3NP+WaDvBjPSSN9Cv5Ji9mo+W2zqh4PF&#10;NoI2eXiPde3qTXucx7+7OelQvOQz6ngZ578BAAD//wMAUEsDBBQABgAIAAAAIQBALASA4gAAAAwB&#10;AAAPAAAAZHJzL2Rvd25yZXYueG1sTI9BT8MwDIXvSPyHyEjcWLJK60ZpOsEkDgiQxthhR6/J2orG&#10;KU3Wdfx6vBPcbL+n5+/ly9G1YrB9aDxpmE4UCEulNw1VGrafz3cLECEiGWw9WQ1nG2BZXF/lmBl/&#10;og87bGIlOIRChhrqGLtMylDW1mGY+M4SawffO4y89pU0PZ443LUyUSqVDhviDzV2dlXb8mtzdBqe&#10;3t5fhzV9m8P4Mlv/RL9C3J21vr0ZHx9ARDvGPzNc8BkdCmba+yOZIFoNi6niLpGFWToHcXGoNOHT&#10;nqf7ZA6yyOX/EsUvAAAA//8DAFBLAQItABQABgAIAAAAIQC2gziS/gAAAOEBAAATAAAAAAAAAAAA&#10;AAAAAAAAAABbQ29udGVudF9UeXBlc10ueG1sUEsBAi0AFAAGAAgAAAAhADj9If/WAAAAlAEAAAsA&#10;AAAAAAAAAAAAAAAALwEAAF9yZWxzLy5yZWxzUEsBAi0AFAAGAAgAAAAhACPnEy90AgAAYQUAAA4A&#10;AAAAAAAAAAAAAAAALgIAAGRycy9lMm9Eb2MueG1sUEsBAi0AFAAGAAgAAAAhAEAsBIDiAAAADAEA&#10;AA8AAAAAAAAAAAAAAAAAzgQAAGRycy9kb3ducmV2LnhtbFBLBQYAAAAABAAEAPMAAADdBQAAAAA=&#10;" fillcolor="white [3212]" stroked="f">
                <w10:wrap type="through"/>
              </v:rect>
            </w:pict>
          </mc:Fallback>
        </mc:AlternateContent>
      </w:r>
      <w:r w:rsidR="00B6068D" w:rsidRPr="00B6068D">
        <w:rPr>
          <w:b/>
          <w:bCs/>
        </w:rPr>
        <w:t>L’Actu du DJ</w:t>
      </w:r>
      <w:r w:rsidR="00993443">
        <w:rPr>
          <w:b/>
          <w:bCs/>
        </w:rPr>
        <w:t>CE</w:t>
      </w:r>
    </w:p>
    <w:p w14:paraId="3FDE31DA" w14:textId="62EB5BC9" w:rsidR="00557F26" w:rsidRPr="004365B0" w:rsidRDefault="003D6C27" w:rsidP="004365B0">
      <w:pPr>
        <w:pStyle w:val="Titre3"/>
        <w:spacing w:before="0" w:after="0"/>
        <w:jc w:val="left"/>
        <w:rPr>
          <w:rStyle w:val="lev"/>
          <w:rFonts w:ascii="Futura Medium" w:hAnsi="Futura Medium" w:cs="Futura Medium"/>
          <w:b w:val="0"/>
          <w:bCs w:val="0"/>
        </w:rPr>
      </w:pPr>
      <w:r>
        <w:rPr>
          <w:rStyle w:val="lev"/>
          <w:rFonts w:ascii="Futura Medium" w:hAnsi="Futura Medium" w:cs="Futura Medium"/>
          <w:b w:val="0"/>
          <w:bCs w:val="0"/>
        </w:rPr>
        <w:t>avril</w:t>
      </w:r>
      <w:r w:rsidR="008B0807" w:rsidRPr="008B0807">
        <w:rPr>
          <w:rStyle w:val="lev"/>
          <w:rFonts w:ascii="Futura Medium" w:hAnsi="Futura Medium" w:cs="Futura Medium"/>
          <w:b w:val="0"/>
          <w:bCs w:val="0"/>
        </w:rPr>
        <w:t xml:space="preserve"> 202</w:t>
      </w:r>
      <w:r w:rsidR="001B776C">
        <w:rPr>
          <w:rStyle w:val="lev"/>
          <w:rFonts w:ascii="Futura Medium" w:hAnsi="Futura Medium" w:cs="Futura Medium"/>
          <w:b w:val="0"/>
          <w:bCs w:val="0"/>
        </w:rPr>
        <w:t>1</w:t>
      </w:r>
      <w:r w:rsidR="008B0807" w:rsidRPr="008B0807">
        <w:rPr>
          <w:rStyle w:val="lev"/>
          <w:rFonts w:ascii="Futura Medium" w:hAnsi="Futura Medium" w:cs="Futura Medium"/>
          <w:b w:val="0"/>
          <w:bCs w:val="0"/>
        </w:rPr>
        <w:t xml:space="preserve"> </w:t>
      </w:r>
      <w:r w:rsidR="004365B0">
        <w:rPr>
          <w:rStyle w:val="lev"/>
          <w:rFonts w:ascii="Futura Medium" w:hAnsi="Futura Medium" w:cs="Futura Medium"/>
          <w:b w:val="0"/>
          <w:bCs w:val="0"/>
        </w:rPr>
        <w:t xml:space="preserve"> </w:t>
      </w:r>
    </w:p>
    <w:p w14:paraId="44A613B2" w14:textId="77777777" w:rsidR="00FD7214" w:rsidRDefault="00FD7214" w:rsidP="00557F26">
      <w:pPr>
        <w:pStyle w:val="Titre3"/>
        <w:spacing w:before="0" w:after="0"/>
        <w:rPr>
          <w:rStyle w:val="lev"/>
          <w:rFonts w:ascii="Futura Medium" w:hAnsi="Futura Medium" w:cs="Futura Medium"/>
          <w:sz w:val="32"/>
          <w:szCs w:val="32"/>
        </w:rPr>
      </w:pPr>
    </w:p>
    <w:p w14:paraId="5EBF296A" w14:textId="4B57290D" w:rsidR="00E7003B" w:rsidRDefault="001B776C" w:rsidP="00FD7214">
      <w:pPr>
        <w:pStyle w:val="Titre3"/>
        <w:spacing w:before="0" w:after="0"/>
        <w:jc w:val="left"/>
        <w:rPr>
          <w:rStyle w:val="lev"/>
          <w:rFonts w:ascii="Futura Medium" w:hAnsi="Futura Medium" w:cs="Futura Medium"/>
          <w:sz w:val="32"/>
          <w:szCs w:val="32"/>
        </w:rPr>
      </w:pPr>
      <w:r>
        <w:rPr>
          <w:rStyle w:val="lev"/>
          <w:rFonts w:ascii="Futura Medium" w:hAnsi="Futura Medium" w:cs="Futura Medium"/>
          <w:sz w:val="32"/>
          <w:szCs w:val="32"/>
        </w:rPr>
        <w:t xml:space="preserve">Covid-19, un an après : état des lieux des mesures d’aides aux entreprises </w:t>
      </w:r>
    </w:p>
    <w:p w14:paraId="016AE4E6" w14:textId="77777777" w:rsidR="00C86981" w:rsidRDefault="00C86981" w:rsidP="00E7003B">
      <w:pPr>
        <w:jc w:val="both"/>
        <w:rPr>
          <w:rFonts w:ascii="Futura Medium" w:hAnsi="Futura Medium" w:cs="Futura Medium"/>
        </w:rPr>
      </w:pPr>
    </w:p>
    <w:p w14:paraId="083E81A9" w14:textId="35BD850F" w:rsidR="001B776C" w:rsidRPr="001B776C" w:rsidRDefault="001B776C" w:rsidP="001B776C">
      <w:pPr>
        <w:spacing w:after="0" w:line="240" w:lineRule="auto"/>
        <w:jc w:val="both"/>
        <w:rPr>
          <w:rFonts w:ascii="Times New Roman" w:eastAsia="Times New Roman" w:hAnsi="Times New Roman" w:cs="Times New Roman"/>
          <w:color w:val="000000"/>
          <w:sz w:val="24"/>
          <w:szCs w:val="24"/>
          <w:lang w:eastAsia="fr-FR"/>
        </w:rPr>
      </w:pPr>
      <w:r w:rsidRPr="001B776C">
        <w:rPr>
          <w:rFonts w:ascii="Calibri" w:eastAsia="Times New Roman" w:hAnsi="Calibri" w:cs="Times New Roman"/>
          <w:color w:val="000000"/>
          <w:sz w:val="24"/>
          <w:szCs w:val="24"/>
          <w:lang w:eastAsia="fr-FR"/>
        </w:rPr>
        <w:t>La crise du Covid-19 a eu des conséquences notables sur l’économie, les entreprises et leurs activités. Pour illustration, en 2020 le PIB a diminué de 8,2% en moyenne annuelle, la dette publique s’élève à 115,7% du PIB et le déficit public est passé à 178,2 milliards d’euros. </w:t>
      </w:r>
    </w:p>
    <w:p w14:paraId="6100DDA6" w14:textId="14BCAF2B" w:rsidR="001B776C" w:rsidRDefault="001B776C" w:rsidP="001B776C">
      <w:pPr>
        <w:spacing w:after="0" w:line="240" w:lineRule="auto"/>
        <w:jc w:val="both"/>
        <w:rPr>
          <w:rFonts w:ascii="Calibri" w:eastAsia="Times New Roman" w:hAnsi="Calibri" w:cs="Times New Roman"/>
          <w:color w:val="000000"/>
          <w:sz w:val="24"/>
          <w:szCs w:val="24"/>
          <w:lang w:eastAsia="fr-FR"/>
        </w:rPr>
      </w:pPr>
      <w:r w:rsidRPr="001B776C">
        <w:rPr>
          <w:rFonts w:ascii="Calibri" w:eastAsia="Times New Roman" w:hAnsi="Calibri" w:cs="Times New Roman"/>
          <w:color w:val="000000"/>
          <w:sz w:val="24"/>
          <w:szCs w:val="24"/>
          <w:lang w:eastAsia="fr-FR"/>
        </w:rPr>
        <w:t xml:space="preserve">Malgré cela, en 2020, le nombre de défaillances d’entreprises s’élevait à 32 184, qui est le plus bas enregistré depuis 1987. Dans </w:t>
      </w:r>
      <w:r w:rsidR="00CC1BC4">
        <w:rPr>
          <w:rFonts w:ascii="Calibri" w:eastAsia="Times New Roman" w:hAnsi="Calibri" w:cs="Times New Roman"/>
          <w:color w:val="000000"/>
          <w:sz w:val="24"/>
          <w:szCs w:val="24"/>
          <w:lang w:eastAsia="fr-FR"/>
        </w:rPr>
        <w:t>cette</w:t>
      </w:r>
      <w:r w:rsidRPr="001B776C">
        <w:rPr>
          <w:rFonts w:ascii="Calibri" w:eastAsia="Times New Roman" w:hAnsi="Calibri" w:cs="Times New Roman"/>
          <w:color w:val="000000"/>
          <w:sz w:val="24"/>
          <w:szCs w:val="24"/>
          <w:lang w:eastAsia="fr-FR"/>
        </w:rPr>
        <w:t xml:space="preserve"> continuité, le nombre de création d’entreprise a augmenté de 4%, même s’il était en léger recul en début d’année 2021. </w:t>
      </w:r>
    </w:p>
    <w:p w14:paraId="2598C3A3" w14:textId="77777777" w:rsidR="00CC1BC4" w:rsidRPr="001B776C" w:rsidRDefault="00CC1BC4" w:rsidP="001B776C">
      <w:pPr>
        <w:spacing w:after="0" w:line="240" w:lineRule="auto"/>
        <w:jc w:val="both"/>
        <w:rPr>
          <w:rFonts w:ascii="Times New Roman" w:eastAsia="Times New Roman" w:hAnsi="Times New Roman" w:cs="Times New Roman"/>
          <w:color w:val="000000"/>
          <w:sz w:val="24"/>
          <w:szCs w:val="24"/>
          <w:lang w:eastAsia="fr-FR"/>
        </w:rPr>
      </w:pPr>
    </w:p>
    <w:p w14:paraId="79441E6A" w14:textId="71C133E3" w:rsidR="001B776C" w:rsidRPr="001B776C" w:rsidRDefault="001B776C" w:rsidP="001B776C">
      <w:pPr>
        <w:spacing w:after="0" w:line="240" w:lineRule="auto"/>
        <w:jc w:val="both"/>
        <w:rPr>
          <w:rFonts w:ascii="Times New Roman" w:eastAsia="Times New Roman" w:hAnsi="Times New Roman" w:cs="Times New Roman"/>
          <w:color w:val="000000"/>
          <w:sz w:val="24"/>
          <w:szCs w:val="24"/>
          <w:lang w:eastAsia="fr-FR"/>
        </w:rPr>
      </w:pPr>
      <w:r w:rsidRPr="001B776C">
        <w:rPr>
          <w:rFonts w:ascii="Calibri" w:eastAsia="Times New Roman" w:hAnsi="Calibri" w:cs="Times New Roman"/>
          <w:color w:val="000000"/>
          <w:sz w:val="24"/>
          <w:szCs w:val="24"/>
          <w:lang w:eastAsia="fr-FR"/>
        </w:rPr>
        <w:t>Cette contradiction peut s’expliquer, en partie, par la mise en place d’un plan d’aide massif déployé par l’État s’articulant autour de quatre grandes catégories de mesures : </w:t>
      </w:r>
    </w:p>
    <w:p w14:paraId="454FC50A" w14:textId="4B4D4FA7" w:rsidR="001B776C" w:rsidRPr="00787A88" w:rsidRDefault="001B776C" w:rsidP="00787A88">
      <w:pPr>
        <w:pStyle w:val="Paragraphedeliste"/>
        <w:numPr>
          <w:ilvl w:val="0"/>
          <w:numId w:val="27"/>
        </w:numPr>
        <w:spacing w:after="0" w:line="240" w:lineRule="auto"/>
        <w:jc w:val="both"/>
        <w:textAlignment w:val="baseline"/>
        <w:rPr>
          <w:rFonts w:ascii="Calibri" w:eastAsia="Times New Roman" w:hAnsi="Calibri" w:cs="Times New Roman"/>
          <w:color w:val="000000"/>
          <w:sz w:val="24"/>
          <w:szCs w:val="24"/>
          <w:lang w:eastAsia="fr-FR"/>
        </w:rPr>
      </w:pPr>
      <w:r w:rsidRPr="00787A88">
        <w:rPr>
          <w:rFonts w:ascii="Calibri" w:eastAsia="Times New Roman" w:hAnsi="Calibri" w:cs="Times New Roman"/>
          <w:color w:val="000000"/>
          <w:sz w:val="24"/>
          <w:szCs w:val="24"/>
          <w:lang w:eastAsia="fr-FR"/>
        </w:rPr>
        <w:t xml:space="preserve">Le fonds de solidarité ; </w:t>
      </w:r>
    </w:p>
    <w:p w14:paraId="2046E647" w14:textId="0F6B6D66" w:rsidR="001B776C" w:rsidRPr="00787A88" w:rsidRDefault="001B776C" w:rsidP="00787A88">
      <w:pPr>
        <w:pStyle w:val="Paragraphedeliste"/>
        <w:numPr>
          <w:ilvl w:val="0"/>
          <w:numId w:val="27"/>
        </w:numPr>
        <w:spacing w:after="0" w:line="240" w:lineRule="auto"/>
        <w:jc w:val="both"/>
        <w:textAlignment w:val="baseline"/>
        <w:rPr>
          <w:rFonts w:ascii="Calibri" w:eastAsia="Times New Roman" w:hAnsi="Calibri" w:cs="Times New Roman"/>
          <w:color w:val="000000"/>
          <w:sz w:val="24"/>
          <w:szCs w:val="24"/>
          <w:lang w:eastAsia="fr-FR"/>
        </w:rPr>
      </w:pPr>
      <w:r w:rsidRPr="00787A88">
        <w:rPr>
          <w:rFonts w:ascii="Calibri" w:eastAsia="Times New Roman" w:hAnsi="Calibri" w:cs="Times New Roman"/>
          <w:color w:val="000000"/>
          <w:sz w:val="24"/>
          <w:szCs w:val="24"/>
          <w:lang w:eastAsia="fr-FR"/>
        </w:rPr>
        <w:t xml:space="preserve">L’activité partielle ; </w:t>
      </w:r>
    </w:p>
    <w:p w14:paraId="5AFCFCDF" w14:textId="1949A4E6" w:rsidR="001B776C" w:rsidRPr="00787A88" w:rsidRDefault="001B776C" w:rsidP="00787A88">
      <w:pPr>
        <w:pStyle w:val="Paragraphedeliste"/>
        <w:numPr>
          <w:ilvl w:val="0"/>
          <w:numId w:val="27"/>
        </w:numPr>
        <w:spacing w:after="0" w:line="240" w:lineRule="auto"/>
        <w:jc w:val="both"/>
        <w:textAlignment w:val="baseline"/>
        <w:rPr>
          <w:rFonts w:ascii="Calibri" w:eastAsia="Times New Roman" w:hAnsi="Calibri" w:cs="Times New Roman"/>
          <w:color w:val="000000"/>
          <w:sz w:val="24"/>
          <w:szCs w:val="24"/>
          <w:lang w:eastAsia="fr-FR"/>
        </w:rPr>
      </w:pPr>
      <w:r w:rsidRPr="00787A88">
        <w:rPr>
          <w:rFonts w:ascii="Calibri" w:eastAsia="Times New Roman" w:hAnsi="Calibri" w:cs="Times New Roman"/>
          <w:color w:val="000000"/>
          <w:sz w:val="24"/>
          <w:szCs w:val="24"/>
          <w:lang w:eastAsia="fr-FR"/>
        </w:rPr>
        <w:t xml:space="preserve">Le report ou l’exonération des charges ; </w:t>
      </w:r>
    </w:p>
    <w:p w14:paraId="367DD100" w14:textId="1BF08DB1" w:rsidR="001B776C" w:rsidRPr="00787A88" w:rsidRDefault="001B776C" w:rsidP="00787A88">
      <w:pPr>
        <w:pStyle w:val="Paragraphedeliste"/>
        <w:numPr>
          <w:ilvl w:val="0"/>
          <w:numId w:val="27"/>
        </w:numPr>
        <w:spacing w:after="0" w:line="240" w:lineRule="auto"/>
        <w:jc w:val="both"/>
        <w:textAlignment w:val="baseline"/>
        <w:rPr>
          <w:rFonts w:ascii="Calibri" w:eastAsia="Times New Roman" w:hAnsi="Calibri" w:cs="Times New Roman"/>
          <w:color w:val="000000"/>
          <w:sz w:val="24"/>
          <w:szCs w:val="24"/>
          <w:lang w:eastAsia="fr-FR"/>
        </w:rPr>
      </w:pPr>
      <w:r w:rsidRPr="00787A88">
        <w:rPr>
          <w:rFonts w:ascii="Calibri" w:eastAsia="Times New Roman" w:hAnsi="Calibri" w:cs="Times New Roman"/>
          <w:color w:val="000000"/>
          <w:sz w:val="24"/>
          <w:szCs w:val="24"/>
          <w:lang w:eastAsia="fr-FR"/>
        </w:rPr>
        <w:t>Le prêt garanti par l’État. </w:t>
      </w:r>
    </w:p>
    <w:p w14:paraId="1A83FEA3" w14:textId="77777777" w:rsidR="001B776C" w:rsidRPr="001B776C" w:rsidRDefault="001B776C" w:rsidP="001B776C">
      <w:pPr>
        <w:spacing w:after="0" w:line="240" w:lineRule="auto"/>
        <w:jc w:val="both"/>
        <w:rPr>
          <w:rFonts w:ascii="Calibri" w:eastAsia="Times New Roman" w:hAnsi="Calibri" w:cs="Times New Roman"/>
          <w:color w:val="000000"/>
          <w:sz w:val="24"/>
          <w:szCs w:val="24"/>
          <w:lang w:eastAsia="fr-FR"/>
        </w:rPr>
      </w:pPr>
    </w:p>
    <w:p w14:paraId="13C7CC9D" w14:textId="15709154" w:rsidR="001B776C" w:rsidRPr="001B776C" w:rsidRDefault="001B776C" w:rsidP="001B776C">
      <w:pPr>
        <w:spacing w:after="0" w:line="240" w:lineRule="auto"/>
        <w:jc w:val="both"/>
        <w:rPr>
          <w:rFonts w:ascii="Times New Roman" w:eastAsia="Times New Roman" w:hAnsi="Times New Roman" w:cs="Times New Roman"/>
          <w:color w:val="000000"/>
          <w:sz w:val="24"/>
          <w:szCs w:val="24"/>
          <w:lang w:eastAsia="fr-FR"/>
        </w:rPr>
      </w:pPr>
      <w:r w:rsidRPr="001B776C">
        <w:rPr>
          <w:rFonts w:ascii="Calibri" w:eastAsia="Times New Roman" w:hAnsi="Calibri" w:cs="Times New Roman"/>
          <w:color w:val="000000"/>
          <w:sz w:val="24"/>
          <w:szCs w:val="24"/>
          <w:lang w:eastAsia="fr-FR"/>
        </w:rPr>
        <w:t>Fin septembre 2020, 3,7 millions d’entreprises avaient eu recours à au moins une mesure mise en place par le Gouvernement, pour un montant global de 163 milliards d’euros. </w:t>
      </w:r>
    </w:p>
    <w:p w14:paraId="477954F2" w14:textId="77777777" w:rsidR="00CC1BC4" w:rsidRDefault="00CC1BC4" w:rsidP="001B776C">
      <w:pPr>
        <w:spacing w:after="0" w:line="240" w:lineRule="auto"/>
        <w:jc w:val="both"/>
        <w:rPr>
          <w:rFonts w:ascii="Calibri" w:eastAsia="Times New Roman" w:hAnsi="Calibri" w:cs="Times New Roman"/>
          <w:color w:val="000000"/>
          <w:sz w:val="24"/>
          <w:szCs w:val="24"/>
          <w:lang w:eastAsia="fr-FR"/>
        </w:rPr>
      </w:pPr>
    </w:p>
    <w:p w14:paraId="54A2614D" w14:textId="2D022CB1" w:rsidR="001B776C" w:rsidRPr="001B776C" w:rsidRDefault="001B776C" w:rsidP="001B776C">
      <w:pPr>
        <w:spacing w:after="0" w:line="240" w:lineRule="auto"/>
        <w:jc w:val="both"/>
        <w:rPr>
          <w:rFonts w:ascii="Calibri" w:eastAsia="Times New Roman" w:hAnsi="Calibri" w:cs="Times New Roman"/>
          <w:color w:val="000000"/>
          <w:sz w:val="24"/>
          <w:szCs w:val="24"/>
          <w:lang w:eastAsia="fr-FR"/>
        </w:rPr>
      </w:pPr>
      <w:r w:rsidRPr="001B776C">
        <w:rPr>
          <w:rFonts w:ascii="Calibri" w:eastAsia="Times New Roman" w:hAnsi="Calibri" w:cs="Times New Roman"/>
          <w:color w:val="000000"/>
          <w:sz w:val="24"/>
          <w:szCs w:val="24"/>
          <w:lang w:eastAsia="fr-FR"/>
        </w:rPr>
        <w:t xml:space="preserve">Alors que nous vivons le premier anniversaire de l’épidémie, nous proposons de faire un bilan de l’organisation de ces mesures d’accompagnement des </w:t>
      </w:r>
      <w:r w:rsidR="00CC1BC4">
        <w:rPr>
          <w:rFonts w:ascii="Calibri" w:eastAsia="Times New Roman" w:hAnsi="Calibri" w:cs="Times New Roman"/>
          <w:color w:val="000000"/>
          <w:sz w:val="24"/>
          <w:szCs w:val="24"/>
          <w:lang w:eastAsia="fr-FR"/>
        </w:rPr>
        <w:t>entreprises</w:t>
      </w:r>
      <w:r w:rsidRPr="001B776C">
        <w:rPr>
          <w:rFonts w:ascii="Calibri" w:eastAsia="Times New Roman" w:hAnsi="Calibri" w:cs="Times New Roman"/>
          <w:color w:val="000000"/>
          <w:sz w:val="24"/>
          <w:szCs w:val="24"/>
          <w:lang w:eastAsia="fr-FR"/>
        </w:rPr>
        <w:t>.</w:t>
      </w:r>
    </w:p>
    <w:p w14:paraId="456DA1E4" w14:textId="26FFE23F" w:rsidR="001B776C" w:rsidRDefault="001B776C" w:rsidP="001B776C">
      <w:pPr>
        <w:spacing w:after="0" w:line="240" w:lineRule="auto"/>
        <w:jc w:val="both"/>
        <w:rPr>
          <w:rFonts w:ascii="Calibri" w:eastAsia="Times New Roman" w:hAnsi="Calibri" w:cs="Times New Roman"/>
          <w:color w:val="000000"/>
          <w:sz w:val="28"/>
          <w:szCs w:val="28"/>
          <w:lang w:eastAsia="fr-FR"/>
        </w:rPr>
      </w:pPr>
    </w:p>
    <w:p w14:paraId="06F4581C" w14:textId="0BD69C45" w:rsidR="001B776C" w:rsidRDefault="001B776C" w:rsidP="001B776C">
      <w:pPr>
        <w:spacing w:after="0" w:line="240" w:lineRule="auto"/>
        <w:jc w:val="both"/>
        <w:rPr>
          <w:rFonts w:ascii="Calibri" w:eastAsia="Times New Roman" w:hAnsi="Calibri" w:cs="Times New Roman"/>
          <w:color w:val="000000"/>
          <w:sz w:val="28"/>
          <w:szCs w:val="28"/>
          <w:lang w:eastAsia="fr-FR"/>
        </w:rPr>
      </w:pPr>
    </w:p>
    <w:p w14:paraId="737FCD57" w14:textId="27F0493D" w:rsidR="001B776C" w:rsidRDefault="001B776C" w:rsidP="001B776C">
      <w:pPr>
        <w:spacing w:after="0" w:line="240" w:lineRule="auto"/>
        <w:jc w:val="both"/>
        <w:rPr>
          <w:rFonts w:ascii="Calibri" w:eastAsia="Times New Roman" w:hAnsi="Calibri" w:cs="Times New Roman"/>
          <w:color w:val="000000"/>
          <w:sz w:val="28"/>
          <w:szCs w:val="28"/>
          <w:lang w:eastAsia="fr-FR"/>
        </w:rPr>
      </w:pPr>
    </w:p>
    <w:p w14:paraId="494CC320" w14:textId="542BE9E4" w:rsidR="001B776C" w:rsidRDefault="001B776C" w:rsidP="001B776C">
      <w:pPr>
        <w:spacing w:after="0" w:line="240" w:lineRule="auto"/>
        <w:jc w:val="both"/>
        <w:rPr>
          <w:rFonts w:ascii="Calibri" w:eastAsia="Times New Roman" w:hAnsi="Calibri" w:cs="Times New Roman"/>
          <w:color w:val="000000"/>
          <w:sz w:val="28"/>
          <w:szCs w:val="28"/>
          <w:lang w:eastAsia="fr-FR"/>
        </w:rPr>
      </w:pPr>
    </w:p>
    <w:p w14:paraId="44645CDC" w14:textId="5B26B0B7" w:rsidR="001B776C" w:rsidRDefault="001B776C" w:rsidP="001B776C">
      <w:pPr>
        <w:spacing w:after="0" w:line="240" w:lineRule="auto"/>
        <w:jc w:val="both"/>
        <w:rPr>
          <w:rFonts w:ascii="Calibri" w:eastAsia="Times New Roman" w:hAnsi="Calibri" w:cs="Times New Roman"/>
          <w:color w:val="000000"/>
          <w:sz w:val="28"/>
          <w:szCs w:val="28"/>
          <w:lang w:eastAsia="fr-FR"/>
        </w:rPr>
      </w:pPr>
    </w:p>
    <w:p w14:paraId="380B8250" w14:textId="4FAA3180" w:rsidR="001B776C" w:rsidRDefault="001B776C" w:rsidP="001B776C">
      <w:pPr>
        <w:spacing w:after="0" w:line="240" w:lineRule="auto"/>
        <w:jc w:val="both"/>
        <w:rPr>
          <w:rFonts w:ascii="Calibri" w:eastAsia="Times New Roman" w:hAnsi="Calibri" w:cs="Times New Roman"/>
          <w:color w:val="000000"/>
          <w:sz w:val="28"/>
          <w:szCs w:val="28"/>
          <w:lang w:eastAsia="fr-FR"/>
        </w:rPr>
      </w:pPr>
    </w:p>
    <w:p w14:paraId="1F447361" w14:textId="505F2682" w:rsidR="001B776C" w:rsidRDefault="001B776C" w:rsidP="001B776C">
      <w:pPr>
        <w:spacing w:after="0" w:line="240" w:lineRule="auto"/>
        <w:jc w:val="both"/>
        <w:rPr>
          <w:rFonts w:ascii="Calibri" w:eastAsia="Times New Roman" w:hAnsi="Calibri" w:cs="Times New Roman"/>
          <w:color w:val="000000"/>
          <w:sz w:val="28"/>
          <w:szCs w:val="28"/>
          <w:lang w:eastAsia="fr-FR"/>
        </w:rPr>
      </w:pPr>
    </w:p>
    <w:p w14:paraId="30F1FFFE" w14:textId="77777777" w:rsidR="001B776C" w:rsidRDefault="001B776C" w:rsidP="001B776C">
      <w:pPr>
        <w:spacing w:after="0" w:line="240" w:lineRule="auto"/>
        <w:jc w:val="both"/>
        <w:rPr>
          <w:rFonts w:ascii="Calibri" w:eastAsia="Times New Roman" w:hAnsi="Calibri" w:cs="Times New Roman"/>
          <w:color w:val="000000"/>
          <w:sz w:val="24"/>
          <w:szCs w:val="24"/>
          <w:lang w:eastAsia="fr-FR"/>
        </w:rPr>
      </w:pPr>
    </w:p>
    <w:p w14:paraId="61379E3C" w14:textId="77777777" w:rsidR="001B776C" w:rsidRDefault="001B776C" w:rsidP="001B776C">
      <w:pPr>
        <w:spacing w:after="0" w:line="240" w:lineRule="auto"/>
        <w:jc w:val="both"/>
        <w:rPr>
          <w:rFonts w:ascii="Calibri" w:eastAsia="Times New Roman" w:hAnsi="Calibri" w:cs="Times New Roman"/>
          <w:color w:val="000000"/>
          <w:sz w:val="24"/>
          <w:szCs w:val="24"/>
          <w:lang w:eastAsia="fr-FR"/>
        </w:rPr>
      </w:pPr>
    </w:p>
    <w:p w14:paraId="78D62AC9" w14:textId="77777777" w:rsidR="001B776C" w:rsidRDefault="001B776C" w:rsidP="001B776C">
      <w:pPr>
        <w:spacing w:after="0" w:line="240" w:lineRule="auto"/>
        <w:jc w:val="both"/>
        <w:rPr>
          <w:rFonts w:ascii="Calibri" w:eastAsia="Times New Roman" w:hAnsi="Calibri" w:cs="Times New Roman"/>
          <w:color w:val="000000"/>
          <w:sz w:val="24"/>
          <w:szCs w:val="24"/>
          <w:lang w:eastAsia="fr-FR"/>
        </w:rPr>
      </w:pPr>
    </w:p>
    <w:p w14:paraId="3277458F" w14:textId="77777777" w:rsidR="001B776C" w:rsidRDefault="001B776C" w:rsidP="001B776C">
      <w:pPr>
        <w:spacing w:after="0" w:line="240" w:lineRule="auto"/>
        <w:jc w:val="both"/>
        <w:rPr>
          <w:rFonts w:ascii="Calibri" w:eastAsia="Times New Roman" w:hAnsi="Calibri" w:cs="Times New Roman"/>
          <w:color w:val="000000"/>
          <w:sz w:val="24"/>
          <w:szCs w:val="24"/>
          <w:lang w:eastAsia="fr-FR"/>
        </w:rPr>
      </w:pPr>
    </w:p>
    <w:p w14:paraId="31F65AA3" w14:textId="77777777" w:rsidR="001B776C" w:rsidRDefault="001B776C" w:rsidP="001B776C">
      <w:pPr>
        <w:spacing w:after="0" w:line="240" w:lineRule="auto"/>
        <w:jc w:val="both"/>
        <w:rPr>
          <w:rFonts w:ascii="Calibri" w:eastAsia="Times New Roman" w:hAnsi="Calibri" w:cs="Times New Roman"/>
          <w:color w:val="000000"/>
          <w:sz w:val="24"/>
          <w:szCs w:val="24"/>
          <w:lang w:eastAsia="fr-FR"/>
        </w:rPr>
      </w:pPr>
    </w:p>
    <w:p w14:paraId="42193337" w14:textId="77777777" w:rsidR="001B776C" w:rsidRDefault="001B776C" w:rsidP="001B776C">
      <w:pPr>
        <w:spacing w:after="0" w:line="240" w:lineRule="auto"/>
        <w:jc w:val="both"/>
        <w:rPr>
          <w:rFonts w:ascii="Calibri" w:eastAsia="Times New Roman" w:hAnsi="Calibri" w:cs="Times New Roman"/>
          <w:color w:val="000000"/>
          <w:sz w:val="24"/>
          <w:szCs w:val="24"/>
          <w:lang w:eastAsia="fr-FR"/>
        </w:rPr>
      </w:pPr>
    </w:p>
    <w:p w14:paraId="1E346C8B" w14:textId="7D4FCCAA" w:rsidR="001B776C" w:rsidRDefault="001B776C" w:rsidP="001B776C">
      <w:pPr>
        <w:spacing w:after="0" w:line="240" w:lineRule="auto"/>
        <w:jc w:val="both"/>
        <w:rPr>
          <w:rFonts w:ascii="Calibri" w:eastAsia="Times New Roman" w:hAnsi="Calibri" w:cs="Times New Roman"/>
          <w:color w:val="000000"/>
          <w:sz w:val="24"/>
          <w:szCs w:val="24"/>
          <w:lang w:eastAsia="fr-FR"/>
        </w:rPr>
      </w:pPr>
      <w:r>
        <w:rPr>
          <w:noProof/>
        </w:rPr>
        <w:lastRenderedPageBreak/>
        <mc:AlternateContent>
          <mc:Choice Requires="wps">
            <w:drawing>
              <wp:anchor distT="152400" distB="152400" distL="152400" distR="152400" simplePos="0" relativeHeight="251667456" behindDoc="0" locked="0" layoutInCell="1" allowOverlap="1" wp14:anchorId="516E8CEC" wp14:editId="1BE81924">
                <wp:simplePos x="0" y="0"/>
                <wp:positionH relativeFrom="margin">
                  <wp:posOffset>-1071685</wp:posOffset>
                </wp:positionH>
                <wp:positionV relativeFrom="page">
                  <wp:posOffset>719308</wp:posOffset>
                </wp:positionV>
                <wp:extent cx="6565900" cy="1270000"/>
                <wp:effectExtent l="0" t="0" r="38100" b="25400"/>
                <wp:wrapTopAndBottom distT="152400" distB="152400"/>
                <wp:docPr id="1073741827" name="officeArt object"/>
                <wp:cNvGraphicFramePr/>
                <a:graphic xmlns:a="http://schemas.openxmlformats.org/drawingml/2006/main">
                  <a:graphicData uri="http://schemas.microsoft.com/office/word/2010/wordprocessingShape">
                    <wps:wsp>
                      <wps:cNvSpPr/>
                      <wps:spPr>
                        <a:xfrm>
                          <a:off x="0" y="0"/>
                          <a:ext cx="6565900" cy="1270000"/>
                        </a:xfrm>
                        <a:prstGeom prst="roundRect">
                          <a:avLst>
                            <a:gd name="adj" fmla="val 15000"/>
                          </a:avLst>
                        </a:prstGeom>
                        <a:ln/>
                      </wps:spPr>
                      <wps:style>
                        <a:lnRef idx="1">
                          <a:schemeClr val="accent1"/>
                        </a:lnRef>
                        <a:fillRef idx="3">
                          <a:schemeClr val="accent1"/>
                        </a:fillRef>
                        <a:effectRef idx="2">
                          <a:schemeClr val="accent1"/>
                        </a:effectRef>
                        <a:fontRef idx="minor">
                          <a:schemeClr val="lt1"/>
                        </a:fontRef>
                      </wps:style>
                      <wps:txbx>
                        <w:txbxContent>
                          <w:p w14:paraId="74F469D1" w14:textId="47E94544" w:rsidR="00590A1C" w:rsidRDefault="001B776C" w:rsidP="00590A1C">
                            <w:pPr>
                              <w:pStyle w:val="tiquette"/>
                              <w:ind w:left="283"/>
                            </w:pPr>
                            <w:r>
                              <w:rPr>
                                <w:sz w:val="52"/>
                                <w:szCs w:val="52"/>
                              </w:rPr>
                              <w:t>Le fonds de solidarité</w:t>
                            </w:r>
                            <w:r w:rsidR="00590A1C">
                              <w:rPr>
                                <w:sz w:val="52"/>
                                <w:szCs w:val="52"/>
                              </w:rPr>
                              <w:t xml:space="preserve"> </w:t>
                            </w:r>
                          </w:p>
                        </w:txbxContent>
                      </wps:txbx>
                      <wps:bodyPr wrap="square" lIns="50800" tIns="50800" rIns="50800" bIns="50800" numCol="1" anchor="ctr">
                        <a:noAutofit/>
                      </wps:bodyPr>
                    </wps:wsp>
                  </a:graphicData>
                </a:graphic>
              </wp:anchor>
            </w:drawing>
          </mc:Choice>
          <mc:Fallback>
            <w:pict>
              <v:roundrect w14:anchorId="516E8CEC" id="officeArt object" o:spid="_x0000_s1026" style="position:absolute;left:0;text-align:left;margin-left:-84.4pt;margin-top:56.65pt;width:517pt;height:100pt;z-index:251667456;visibility:visible;mso-wrap-style:square;mso-wrap-distance-left:12pt;mso-wrap-distance-top:12pt;mso-wrap-distance-right:12pt;mso-wrap-distance-bottom:12pt;mso-position-horizontal:absolute;mso-position-horizontal-relative:margin;mso-position-vertical:absolute;mso-position-vertical-relative:page;v-text-anchor:middle" arcsize="983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CdXiGAIAAIUEAAAOAAAAZHJzL2Uyb0RvYy54bWysVNuO0zAQfUfiHyy/0yRdeqFqulrtCoSE&#13;&#10;YLULH+A4dpOV7TG226R/z9hJ0wqQVkL0IfXEPmfOnBlne9trRY7C+RZMSYtZTokwHOrW7Ev64/vH&#13;&#10;d2tKfGCmZgqMKOlJeHq7e/tm29mNmEMDqhaOIInxm86WtAnBbrLM80Zo5mdghcFNCU6zgKHbZ7Vj&#13;&#10;HbJrlc3zfJl14GrrgAvv8e3DsEl3iV9KwcM3Kb0IRJUUtYX0dOlZxWe227LN3jHbtHyUwf5BhWat&#13;&#10;waQT1QMLjBxc+weVbrkDDzLMOOgMpGy5SDVgNUX+WzXPDbMi1YLmeDvZ5P8fLf96fHSkrbF3+epm&#13;&#10;9b5Yz1eUGKaxV4O6OxcIVC/oZDSrs36DmGf76MbI4zJW3kun4z+iSJ8MPk0Giz4Qji+Xi+XiQ459&#13;&#10;4LhXzFc5/iJrdoFb58MnAZrERUkdHEz9FJNHbnb84kOyuR41svqFEqkVNu3IFCkWF8bxMHKfOSNS&#13;&#10;mZgvljEIT6twUmLYfBIS3UCpRUqY5lDcK0eQvaSMc2FCMUpWBk9HmGyVmoA3rwPH8xEq0oxO4Pnr&#13;&#10;4AmRMoMJE1i3BtzfCNQkWQ7nzw4MdUcLQl/1Y0MrqE84Ex1eipL6nwfmBCXqs8GpW+Tr2L1wHbjr&#13;&#10;oLoOzEHfA7pWUMIMbwCvHQ+DQAN3hwCyDedmDElHXTjraSbGexkv03WcTl2+HrtfAAAA//8DAFBL&#13;&#10;AwQUAAYACAAAACEAe5VmmOYAAAARAQAADwAAAGRycy9kb3ducmV2LnhtbEyPT0/DMAzF70j7DpEn&#13;&#10;cdvSNlBVXdMJAUMCCSTWcU+b0FbLn9JkXfft8U5wsWQ/+/n9iu1sNJnU6HtnOcTrCIiyjZO9bTkc&#13;&#10;qt0qA+KDsFJoZxWHi/KwLRc3hcilO9tPNe1DS9DE+lxw6EIYckp90ykj/NoNyqL27UYjArZjS+Uo&#13;&#10;zmhuNE2iKKVG9BY/dGJQj51qjvuT4TBVd5ef5L1+qz4Oz7sXfWT065VxfrucnzZYHjZAgprD3wVc&#13;&#10;GTA/lBisdicrPdEcVnGaIUBAJWYMCK5k6X0CpObArhNaFvQ/SfkLAAD//wMAUEsBAi0AFAAGAAgA&#13;&#10;AAAhALaDOJL+AAAA4QEAABMAAAAAAAAAAAAAAAAAAAAAAFtDb250ZW50X1R5cGVzXS54bWxQSwEC&#13;&#10;LQAUAAYACAAAACEAOP0h/9YAAACUAQAACwAAAAAAAAAAAAAAAAAvAQAAX3JlbHMvLnJlbHNQSwEC&#13;&#10;LQAUAAYACAAAACEAKgnV4hgCAACFBAAADgAAAAAAAAAAAAAAAAAuAgAAZHJzL2Uyb0RvYy54bWxQ&#13;&#10;SwECLQAUAAYACAAAACEAe5VmmOYAAAARAQAADwAAAAAAAAAAAAAAAAByBAAAZHJzL2Rvd25yZXYu&#13;&#10;eG1sUEsFBgAAAAAEAAQA8wAAAIUFAAAAAA==&#13;&#10;" strokecolor="#6e0808 [1924]">
                <v:fill r:id="rId9" o:title="" recolor="t" rotate="t" type="tile"/>
                <v:imagedata recolortarget="#a10c0c [2820]"/>
                <v:textbox inset="4pt,4pt,4pt,4pt">
                  <w:txbxContent>
                    <w:p w14:paraId="74F469D1" w14:textId="47E94544" w:rsidR="00590A1C" w:rsidRDefault="001B776C" w:rsidP="00590A1C">
                      <w:pPr>
                        <w:pStyle w:val="tiquette"/>
                        <w:ind w:left="283"/>
                      </w:pPr>
                      <w:r>
                        <w:rPr>
                          <w:sz w:val="52"/>
                          <w:szCs w:val="52"/>
                        </w:rPr>
                        <w:t>Le fonds de solidarité</w:t>
                      </w:r>
                      <w:r w:rsidR="00590A1C">
                        <w:rPr>
                          <w:sz w:val="52"/>
                          <w:szCs w:val="52"/>
                        </w:rPr>
                        <w:t xml:space="preserve"> </w:t>
                      </w:r>
                    </w:p>
                  </w:txbxContent>
                </v:textbox>
                <w10:wrap type="topAndBottom" anchorx="margin" anchory="page"/>
              </v:roundrect>
            </w:pict>
          </mc:Fallback>
        </mc:AlternateContent>
      </w:r>
    </w:p>
    <w:p w14:paraId="0459D3B5" w14:textId="1B1C9DD0" w:rsidR="00445D55" w:rsidRPr="00445D55" w:rsidRDefault="00445D55" w:rsidP="00445D55">
      <w:pPr>
        <w:rPr>
          <w:rFonts w:ascii="Calibri" w:hAnsi="Calibri"/>
          <w:sz w:val="24"/>
          <w:szCs w:val="24"/>
        </w:rPr>
      </w:pPr>
      <w:r w:rsidRPr="00445D55">
        <w:rPr>
          <w:rFonts w:ascii="Calibri" w:hAnsi="Calibri"/>
          <w:sz w:val="24"/>
          <w:szCs w:val="24"/>
        </w:rPr>
        <w:t>Le fonds de solidarité est un dispositif d’aide mis en place par l’Etat afin d’aider les entreprises à faire face aux conséquences économiques de la crise sanitaire du Covid-19.</w:t>
      </w:r>
    </w:p>
    <w:p w14:paraId="09F37DB2" w14:textId="33DEFC45" w:rsidR="00445D55" w:rsidRPr="00445D55" w:rsidRDefault="00445D55" w:rsidP="00445D55">
      <w:pPr>
        <w:rPr>
          <w:rFonts w:ascii="Calibri" w:eastAsia="Times New Roman" w:hAnsi="Calibri" w:cs="Times New Roman"/>
          <w:color w:val="000000"/>
          <w:sz w:val="24"/>
          <w:szCs w:val="24"/>
          <w:lang w:eastAsia="fr-FR"/>
        </w:rPr>
      </w:pPr>
      <w:r w:rsidRPr="00445D55">
        <w:rPr>
          <w:rFonts w:ascii="Calibri" w:hAnsi="Calibri"/>
          <w:sz w:val="24"/>
          <w:szCs w:val="24"/>
        </w:rPr>
        <w:t xml:space="preserve">Le décret n° 2021-422 du 10 avril 2021 relatif à l’adaptation au titre du mois de mars 2021 du fonds de solidarité à destination des entreprises particulièrement touchées par les conséquences de l’épidémie de Covid-19 et des mesures prises pour limiter cette propagation vient modifier les décrets n° 2020-1262 du 16 octobre 2020 et n° 2020-1310 du 29 octobre 2020 portant création d’un fonds de solidarité. </w:t>
      </w:r>
    </w:p>
    <w:p w14:paraId="5D29CE62" w14:textId="77777777" w:rsidR="00445D55" w:rsidRPr="00445D55" w:rsidRDefault="00445D55" w:rsidP="00445D55">
      <w:pPr>
        <w:spacing w:after="0" w:line="240" w:lineRule="auto"/>
        <w:jc w:val="both"/>
        <w:rPr>
          <w:rFonts w:ascii="Calibri" w:eastAsia="Times New Roman" w:hAnsi="Calibri" w:cs="Times New Roman"/>
          <w:color w:val="000000"/>
          <w:sz w:val="24"/>
          <w:szCs w:val="24"/>
          <w:lang w:eastAsia="fr-FR"/>
        </w:rPr>
      </w:pPr>
      <w:r w:rsidRPr="00445D55">
        <w:rPr>
          <w:rFonts w:ascii="Calibri" w:eastAsia="Times New Roman" w:hAnsi="Calibri" w:cs="Times New Roman"/>
          <w:color w:val="000000"/>
          <w:sz w:val="24"/>
          <w:szCs w:val="24"/>
          <w:lang w:eastAsia="fr-FR"/>
        </w:rPr>
        <w:t xml:space="preserve">Quelles sont les modifications apportées par ce décret ? </w:t>
      </w:r>
    </w:p>
    <w:p w14:paraId="27DF72B3" w14:textId="77777777" w:rsidR="00445D55" w:rsidRPr="00445D55" w:rsidRDefault="00445D55" w:rsidP="00787A88">
      <w:pPr>
        <w:pStyle w:val="Paragraphedeliste"/>
        <w:numPr>
          <w:ilvl w:val="0"/>
          <w:numId w:val="17"/>
        </w:numPr>
        <w:spacing w:after="0" w:line="240" w:lineRule="auto"/>
        <w:jc w:val="both"/>
        <w:rPr>
          <w:rFonts w:ascii="Calibri" w:hAnsi="Calibri"/>
          <w:sz w:val="24"/>
          <w:szCs w:val="24"/>
        </w:rPr>
      </w:pPr>
      <w:r w:rsidRPr="00445D55">
        <w:rPr>
          <w:rFonts w:ascii="Calibri" w:hAnsi="Calibri"/>
          <w:sz w:val="24"/>
          <w:szCs w:val="24"/>
        </w:rPr>
        <w:t xml:space="preserve">Ouverture aux entreprises fermées partiellement ayant perdu au moins 20% de chiffre d’affaires et aux commerces situés dans un centre commercial d’au moins 10 000 m2 </w:t>
      </w:r>
    </w:p>
    <w:p w14:paraId="4240027C" w14:textId="77777777" w:rsidR="00445D55" w:rsidRPr="00445D55" w:rsidRDefault="00445D55" w:rsidP="00787A88">
      <w:pPr>
        <w:pStyle w:val="Paragraphedeliste"/>
        <w:numPr>
          <w:ilvl w:val="0"/>
          <w:numId w:val="17"/>
        </w:numPr>
        <w:spacing w:after="0" w:line="240" w:lineRule="auto"/>
        <w:jc w:val="both"/>
        <w:rPr>
          <w:rFonts w:ascii="Calibri" w:hAnsi="Calibri"/>
          <w:sz w:val="24"/>
          <w:szCs w:val="24"/>
        </w:rPr>
      </w:pPr>
      <w:r w:rsidRPr="00445D55">
        <w:rPr>
          <w:rFonts w:ascii="Calibri" w:hAnsi="Calibri"/>
          <w:sz w:val="24"/>
          <w:szCs w:val="24"/>
        </w:rPr>
        <w:t xml:space="preserve">Fixation d’une date de début d’activité maximale pour être éligible au 31 décembre 2020 </w:t>
      </w:r>
    </w:p>
    <w:p w14:paraId="2CAC3780" w14:textId="77777777" w:rsidR="00445D55" w:rsidRPr="00445D55" w:rsidRDefault="00445D55" w:rsidP="00787A88">
      <w:pPr>
        <w:pStyle w:val="Paragraphedeliste"/>
        <w:numPr>
          <w:ilvl w:val="0"/>
          <w:numId w:val="17"/>
        </w:numPr>
        <w:spacing w:after="0" w:line="240" w:lineRule="auto"/>
        <w:jc w:val="both"/>
        <w:rPr>
          <w:rFonts w:ascii="Calibri" w:hAnsi="Calibri"/>
          <w:sz w:val="24"/>
          <w:szCs w:val="24"/>
        </w:rPr>
      </w:pPr>
      <w:r w:rsidRPr="00445D55">
        <w:rPr>
          <w:rFonts w:ascii="Calibri" w:hAnsi="Calibri"/>
          <w:sz w:val="24"/>
          <w:szCs w:val="24"/>
        </w:rPr>
        <w:t xml:space="preserve">Suppression de la possibilité de modifier le mode de calcul de son chiffre d’affaires de référence d’un mois à l’autre </w:t>
      </w:r>
    </w:p>
    <w:p w14:paraId="65D9E4EB" w14:textId="77777777" w:rsidR="00445D55" w:rsidRPr="00445D55" w:rsidRDefault="00445D55" w:rsidP="00787A88">
      <w:pPr>
        <w:pStyle w:val="Paragraphedeliste"/>
        <w:numPr>
          <w:ilvl w:val="0"/>
          <w:numId w:val="17"/>
        </w:numPr>
        <w:spacing w:after="0" w:line="240" w:lineRule="auto"/>
        <w:jc w:val="both"/>
        <w:rPr>
          <w:rFonts w:ascii="Calibri" w:hAnsi="Calibri"/>
          <w:sz w:val="24"/>
          <w:szCs w:val="24"/>
        </w:rPr>
      </w:pPr>
      <w:r w:rsidRPr="00445D55">
        <w:rPr>
          <w:rFonts w:ascii="Calibri" w:hAnsi="Calibri"/>
          <w:sz w:val="24"/>
          <w:szCs w:val="24"/>
        </w:rPr>
        <w:t xml:space="preserve">Reconduction du dispositif dérogatoire pour les entreprises « autres » de Mayotte avec une aide pouvant aller jusqu’à 3 000€ </w:t>
      </w:r>
    </w:p>
    <w:p w14:paraId="732FE6C8" w14:textId="77777777" w:rsidR="00445D55" w:rsidRPr="00445D55" w:rsidRDefault="00445D55" w:rsidP="00787A88">
      <w:pPr>
        <w:pStyle w:val="Paragraphedeliste"/>
        <w:numPr>
          <w:ilvl w:val="0"/>
          <w:numId w:val="17"/>
        </w:numPr>
        <w:spacing w:after="0" w:line="240" w:lineRule="auto"/>
        <w:jc w:val="both"/>
        <w:rPr>
          <w:rFonts w:ascii="Calibri" w:hAnsi="Calibri"/>
          <w:sz w:val="24"/>
          <w:szCs w:val="24"/>
        </w:rPr>
      </w:pPr>
      <w:r w:rsidRPr="00445D55">
        <w:rPr>
          <w:rFonts w:ascii="Calibri" w:hAnsi="Calibri"/>
          <w:sz w:val="24"/>
          <w:szCs w:val="24"/>
        </w:rPr>
        <w:t xml:space="preserve">Les sociétés réalisant au moins 50% de leur chiffre d’affaires avec des entreprises du secteur des domaines skiables peuvent bénéficier du fonds de solidarité </w:t>
      </w:r>
    </w:p>
    <w:p w14:paraId="3FB9120D" w14:textId="2E5CAD77" w:rsidR="00445D55" w:rsidRDefault="00445D55" w:rsidP="00787A88">
      <w:pPr>
        <w:pStyle w:val="Paragraphedeliste"/>
        <w:numPr>
          <w:ilvl w:val="0"/>
          <w:numId w:val="17"/>
        </w:numPr>
        <w:spacing w:after="0" w:line="240" w:lineRule="auto"/>
        <w:jc w:val="both"/>
        <w:rPr>
          <w:rFonts w:ascii="Calibri" w:hAnsi="Calibri"/>
          <w:sz w:val="24"/>
          <w:szCs w:val="24"/>
        </w:rPr>
      </w:pPr>
      <w:r w:rsidRPr="00445D55">
        <w:rPr>
          <w:rFonts w:ascii="Calibri" w:hAnsi="Calibri"/>
          <w:sz w:val="24"/>
          <w:szCs w:val="24"/>
        </w:rPr>
        <w:t xml:space="preserve">L’aide de 1 500€ pour les entreprises de moins de 50 salariés est reconduite pour le mois de mars (dont les indépendants) </w:t>
      </w:r>
    </w:p>
    <w:p w14:paraId="34778021" w14:textId="77777777" w:rsidR="00445D55" w:rsidRPr="00445D55" w:rsidRDefault="00445D55" w:rsidP="00445D55">
      <w:pPr>
        <w:spacing w:after="0" w:line="240" w:lineRule="auto"/>
        <w:jc w:val="both"/>
        <w:rPr>
          <w:rFonts w:ascii="Calibri" w:hAnsi="Calibri"/>
          <w:sz w:val="24"/>
          <w:szCs w:val="24"/>
        </w:rPr>
      </w:pPr>
    </w:p>
    <w:p w14:paraId="39F659C9" w14:textId="77777777" w:rsidR="00445D55" w:rsidRPr="00445D55" w:rsidRDefault="00445D55" w:rsidP="00445D55">
      <w:pPr>
        <w:spacing w:after="0" w:line="240" w:lineRule="auto"/>
        <w:contextualSpacing/>
        <w:rPr>
          <w:rFonts w:ascii="Calibri" w:hAnsi="Calibri"/>
          <w:sz w:val="24"/>
          <w:szCs w:val="24"/>
        </w:rPr>
      </w:pPr>
      <w:r w:rsidRPr="00445D55">
        <w:rPr>
          <w:rFonts w:ascii="Calibri" w:hAnsi="Calibri"/>
          <w:sz w:val="24"/>
          <w:szCs w:val="24"/>
        </w:rPr>
        <w:t xml:space="preserve">Quelles sont les entreprises concernées ? </w:t>
      </w:r>
    </w:p>
    <w:p w14:paraId="3ADF3E6D" w14:textId="77777777" w:rsidR="00445D55" w:rsidRPr="00787A88" w:rsidRDefault="00445D55" w:rsidP="00787A88">
      <w:pPr>
        <w:pStyle w:val="Paragraphedeliste"/>
        <w:numPr>
          <w:ilvl w:val="0"/>
          <w:numId w:val="19"/>
        </w:numPr>
        <w:spacing w:after="0" w:line="240" w:lineRule="auto"/>
        <w:jc w:val="both"/>
        <w:rPr>
          <w:rFonts w:ascii="Calibri" w:hAnsi="Calibri"/>
          <w:sz w:val="24"/>
          <w:szCs w:val="24"/>
        </w:rPr>
      </w:pPr>
      <w:r w:rsidRPr="00787A88">
        <w:rPr>
          <w:rFonts w:ascii="Calibri" w:hAnsi="Calibri"/>
          <w:sz w:val="24"/>
          <w:szCs w:val="24"/>
        </w:rPr>
        <w:t xml:space="preserve">Les entreprises fermées administrativement ayant perdu au moins 20% de leur chiffre d’affaires : </w:t>
      </w:r>
    </w:p>
    <w:p w14:paraId="216A9D3D" w14:textId="77777777" w:rsidR="00445D55" w:rsidRPr="00445D55" w:rsidRDefault="00445D55" w:rsidP="00445D55">
      <w:pPr>
        <w:pStyle w:val="Paragraphedeliste"/>
        <w:numPr>
          <w:ilvl w:val="1"/>
          <w:numId w:val="15"/>
        </w:numPr>
        <w:spacing w:after="0" w:line="240" w:lineRule="auto"/>
        <w:jc w:val="both"/>
        <w:rPr>
          <w:rFonts w:ascii="Calibri" w:hAnsi="Calibri"/>
          <w:sz w:val="24"/>
          <w:szCs w:val="24"/>
        </w:rPr>
      </w:pPr>
      <w:r w:rsidRPr="00445D55">
        <w:rPr>
          <w:rFonts w:ascii="Calibri" w:hAnsi="Calibri"/>
          <w:sz w:val="24"/>
          <w:szCs w:val="24"/>
        </w:rPr>
        <w:t xml:space="preserve">Les entreprises qui ont été fermées administrativement le week-end, notamment dans les Alpes-Maritimes, le Pas-de-Calais et Dunkerque </w:t>
      </w:r>
    </w:p>
    <w:p w14:paraId="121EE522" w14:textId="77777777" w:rsidR="00445D55" w:rsidRPr="00445D55" w:rsidRDefault="00445D55" w:rsidP="00445D55">
      <w:pPr>
        <w:pStyle w:val="Paragraphedeliste"/>
        <w:numPr>
          <w:ilvl w:val="1"/>
          <w:numId w:val="15"/>
        </w:numPr>
        <w:spacing w:after="0" w:line="240" w:lineRule="auto"/>
        <w:jc w:val="both"/>
        <w:rPr>
          <w:rFonts w:ascii="Calibri" w:hAnsi="Calibri"/>
          <w:sz w:val="24"/>
          <w:szCs w:val="24"/>
        </w:rPr>
      </w:pPr>
      <w:r w:rsidRPr="00445D55">
        <w:rPr>
          <w:rFonts w:ascii="Calibri" w:hAnsi="Calibri"/>
          <w:sz w:val="24"/>
          <w:szCs w:val="24"/>
        </w:rPr>
        <w:t xml:space="preserve">Les entreprises fermées administrativement de façon totale dans les départements ayant fait l’objet d’un reconfinement hybride fin mars </w:t>
      </w:r>
    </w:p>
    <w:p w14:paraId="46491721" w14:textId="77777777" w:rsidR="00445D55" w:rsidRPr="00445D55" w:rsidRDefault="00445D55" w:rsidP="00445D55">
      <w:pPr>
        <w:pStyle w:val="Paragraphedeliste"/>
        <w:numPr>
          <w:ilvl w:val="1"/>
          <w:numId w:val="15"/>
        </w:numPr>
        <w:spacing w:after="0" w:line="240" w:lineRule="auto"/>
        <w:jc w:val="both"/>
        <w:rPr>
          <w:rFonts w:ascii="Calibri" w:hAnsi="Calibri"/>
          <w:sz w:val="24"/>
          <w:szCs w:val="24"/>
        </w:rPr>
      </w:pPr>
      <w:r w:rsidRPr="00445D55">
        <w:rPr>
          <w:rFonts w:ascii="Calibri" w:hAnsi="Calibri"/>
          <w:sz w:val="24"/>
          <w:szCs w:val="24"/>
        </w:rPr>
        <w:t xml:space="preserve">Les entreprises ayant au moins un commerce dans une grande surface d’au moins 10 000 m2 (contre 20 000 m2 avant) </w:t>
      </w:r>
    </w:p>
    <w:p w14:paraId="7D09154A" w14:textId="77777777" w:rsidR="00445D55" w:rsidRPr="00445D55" w:rsidRDefault="00445D55" w:rsidP="00787A88">
      <w:pPr>
        <w:pStyle w:val="Paragraphedeliste"/>
        <w:numPr>
          <w:ilvl w:val="0"/>
          <w:numId w:val="20"/>
        </w:numPr>
        <w:spacing w:after="0" w:line="240" w:lineRule="auto"/>
        <w:jc w:val="both"/>
        <w:rPr>
          <w:rFonts w:ascii="Calibri" w:hAnsi="Calibri"/>
          <w:sz w:val="24"/>
          <w:szCs w:val="24"/>
        </w:rPr>
      </w:pPr>
      <w:r w:rsidRPr="00445D55">
        <w:rPr>
          <w:rFonts w:ascii="Calibri" w:hAnsi="Calibri"/>
          <w:sz w:val="24"/>
          <w:szCs w:val="24"/>
        </w:rPr>
        <w:t xml:space="preserve">Les entreprises du secteur S1 dont la perte de chiffre d’affaires est égale ou supérieure à 50% </w:t>
      </w:r>
    </w:p>
    <w:p w14:paraId="6082C2F3" w14:textId="77777777" w:rsidR="00445D55" w:rsidRPr="00445D55" w:rsidRDefault="00445D55" w:rsidP="00787A88">
      <w:pPr>
        <w:pStyle w:val="Paragraphedeliste"/>
        <w:numPr>
          <w:ilvl w:val="0"/>
          <w:numId w:val="20"/>
        </w:numPr>
        <w:spacing w:after="0" w:line="240" w:lineRule="auto"/>
        <w:jc w:val="both"/>
        <w:rPr>
          <w:rFonts w:ascii="Calibri" w:hAnsi="Calibri"/>
          <w:sz w:val="24"/>
          <w:szCs w:val="24"/>
        </w:rPr>
      </w:pPr>
      <w:r w:rsidRPr="00445D55">
        <w:rPr>
          <w:rFonts w:ascii="Calibri" w:hAnsi="Calibri"/>
          <w:sz w:val="24"/>
          <w:szCs w:val="24"/>
        </w:rPr>
        <w:t xml:space="preserve">Les entreprises du secteur S1 bis dont la perte de chiffre d’affaires est également ou supérieure à 50% </w:t>
      </w:r>
    </w:p>
    <w:p w14:paraId="137DC2EA" w14:textId="77777777" w:rsidR="00445D55" w:rsidRPr="00445D55" w:rsidRDefault="00445D55" w:rsidP="00787A88">
      <w:pPr>
        <w:pStyle w:val="Paragraphedeliste"/>
        <w:numPr>
          <w:ilvl w:val="0"/>
          <w:numId w:val="20"/>
        </w:numPr>
        <w:spacing w:after="0" w:line="240" w:lineRule="auto"/>
        <w:jc w:val="both"/>
        <w:rPr>
          <w:rFonts w:ascii="Calibri" w:hAnsi="Calibri"/>
          <w:sz w:val="24"/>
          <w:szCs w:val="24"/>
        </w:rPr>
      </w:pPr>
      <w:r w:rsidRPr="00445D55">
        <w:rPr>
          <w:rFonts w:ascii="Calibri" w:hAnsi="Calibri"/>
          <w:sz w:val="24"/>
          <w:szCs w:val="24"/>
        </w:rPr>
        <w:t xml:space="preserve">Les viticulteurs dont la perte de chiffre d’affaires est égale ou supérieure à 50% </w:t>
      </w:r>
    </w:p>
    <w:p w14:paraId="5AAB4E4B" w14:textId="77777777" w:rsidR="00445D55" w:rsidRPr="00445D55" w:rsidRDefault="00445D55" w:rsidP="00787A88">
      <w:pPr>
        <w:pStyle w:val="Paragraphedeliste"/>
        <w:numPr>
          <w:ilvl w:val="0"/>
          <w:numId w:val="20"/>
        </w:numPr>
        <w:spacing w:after="0" w:line="240" w:lineRule="auto"/>
        <w:jc w:val="both"/>
        <w:rPr>
          <w:rFonts w:ascii="Calibri" w:hAnsi="Calibri"/>
          <w:sz w:val="24"/>
          <w:szCs w:val="24"/>
        </w:rPr>
      </w:pPr>
      <w:r w:rsidRPr="00445D55">
        <w:rPr>
          <w:rFonts w:ascii="Calibri" w:hAnsi="Calibri"/>
          <w:sz w:val="24"/>
          <w:szCs w:val="24"/>
        </w:rPr>
        <w:t xml:space="preserve">Les entreprises des autres secteurs comptant moins de 50 salariés et ayant enregistré une perte d’au moins 50% de chiffre d’affaires </w:t>
      </w:r>
    </w:p>
    <w:p w14:paraId="78E7716E" w14:textId="040FD39F" w:rsidR="00445D55" w:rsidRPr="00445D55" w:rsidRDefault="00445D55" w:rsidP="00787A88">
      <w:pPr>
        <w:pStyle w:val="Paragraphedeliste"/>
        <w:numPr>
          <w:ilvl w:val="0"/>
          <w:numId w:val="20"/>
        </w:numPr>
        <w:spacing w:after="0" w:line="240" w:lineRule="auto"/>
        <w:jc w:val="both"/>
        <w:rPr>
          <w:rFonts w:ascii="Calibri" w:hAnsi="Calibri"/>
          <w:sz w:val="24"/>
          <w:szCs w:val="24"/>
        </w:rPr>
      </w:pPr>
      <w:r w:rsidRPr="00445D55">
        <w:rPr>
          <w:rFonts w:ascii="Calibri" w:hAnsi="Calibri"/>
          <w:sz w:val="24"/>
          <w:szCs w:val="24"/>
        </w:rPr>
        <w:t xml:space="preserve">Les sociétés réalisant au moins 50% de leur chiffre d’affaires avec des entreprises du secteur des domaines skiables </w:t>
      </w:r>
    </w:p>
    <w:p w14:paraId="6C706ECE" w14:textId="2D382E42" w:rsidR="00445D55" w:rsidRDefault="00445D55" w:rsidP="00787A88">
      <w:pPr>
        <w:pStyle w:val="Paragraphedeliste"/>
        <w:numPr>
          <w:ilvl w:val="0"/>
          <w:numId w:val="20"/>
        </w:numPr>
        <w:spacing w:after="0" w:line="240" w:lineRule="auto"/>
        <w:jc w:val="both"/>
        <w:rPr>
          <w:rFonts w:ascii="Calibri" w:hAnsi="Calibri"/>
          <w:sz w:val="24"/>
          <w:szCs w:val="24"/>
        </w:rPr>
      </w:pPr>
      <w:r w:rsidRPr="00445D55">
        <w:rPr>
          <w:rFonts w:ascii="Calibri" w:hAnsi="Calibri"/>
          <w:sz w:val="24"/>
          <w:szCs w:val="24"/>
        </w:rPr>
        <w:t xml:space="preserve">Les entreprises « autres » de Mayotte de moins de 250 salariés hors secteur protégé </w:t>
      </w:r>
    </w:p>
    <w:p w14:paraId="5F535624" w14:textId="77777777" w:rsidR="00445D55" w:rsidRPr="00445D55" w:rsidRDefault="00445D55" w:rsidP="00445D55">
      <w:pPr>
        <w:pStyle w:val="Paragraphedeliste"/>
        <w:spacing w:after="0" w:line="240" w:lineRule="auto"/>
        <w:jc w:val="both"/>
        <w:rPr>
          <w:rFonts w:ascii="Calibri" w:hAnsi="Calibri"/>
          <w:sz w:val="24"/>
          <w:szCs w:val="24"/>
        </w:rPr>
      </w:pPr>
    </w:p>
    <w:p w14:paraId="30590336" w14:textId="202ED749" w:rsidR="00445D55" w:rsidRPr="00445D55" w:rsidRDefault="00445D55" w:rsidP="00445D55">
      <w:pPr>
        <w:rPr>
          <w:rFonts w:ascii="Calibri" w:hAnsi="Calibri"/>
          <w:sz w:val="24"/>
          <w:szCs w:val="24"/>
        </w:rPr>
      </w:pPr>
      <w:r w:rsidRPr="00445D55">
        <w:rPr>
          <w:rFonts w:ascii="Calibri" w:hAnsi="Calibri"/>
          <w:sz w:val="24"/>
          <w:szCs w:val="24"/>
        </w:rPr>
        <w:t xml:space="preserve">La demande d’aide au titre du mois de mars 2021 ouvre le 20 avril et restera accessible jusqu’au 31 mai. </w:t>
      </w:r>
    </w:p>
    <w:p w14:paraId="61C9978E" w14:textId="4A00C470" w:rsidR="0042665D" w:rsidRDefault="00445D55" w:rsidP="00445D55">
      <w:pPr>
        <w:rPr>
          <w:rFonts w:ascii="Calibri" w:hAnsi="Calibri"/>
          <w:sz w:val="24"/>
          <w:szCs w:val="24"/>
        </w:rPr>
      </w:pPr>
      <w:r w:rsidRPr="00445D55">
        <w:rPr>
          <w:rFonts w:ascii="Calibri" w:hAnsi="Calibri"/>
          <w:sz w:val="24"/>
          <w:szCs w:val="24"/>
        </w:rPr>
        <w:lastRenderedPageBreak/>
        <w:t>Par ailleurs, une aide spécifique à la prise en charge des coûts fixes a été mise en place par le décret</w:t>
      </w:r>
      <w:r w:rsidR="0042665D">
        <w:rPr>
          <w:rFonts w:ascii="Calibri" w:hAnsi="Calibri"/>
          <w:sz w:val="24"/>
          <w:szCs w:val="24"/>
        </w:rPr>
        <w:t xml:space="preserve">. </w:t>
      </w:r>
    </w:p>
    <w:p w14:paraId="4684B334" w14:textId="17D80AD5" w:rsidR="004A3ADF" w:rsidRPr="00077222" w:rsidRDefault="004A3ADF" w:rsidP="004A3ADF">
      <w:pPr>
        <w:spacing w:after="0" w:line="240" w:lineRule="auto"/>
        <w:jc w:val="both"/>
        <w:rPr>
          <w:rFonts w:ascii="Calibri" w:eastAsia="Times New Roman" w:hAnsi="Calibri" w:cs="Times New Roman"/>
          <w:color w:val="000000"/>
          <w:sz w:val="24"/>
          <w:szCs w:val="24"/>
          <w:lang w:eastAsia="fr-FR"/>
        </w:rPr>
      </w:pPr>
      <w:r w:rsidRPr="00077222">
        <w:rPr>
          <w:rFonts w:ascii="Calibri" w:eastAsia="Times New Roman" w:hAnsi="Calibri" w:cs="Times New Roman"/>
          <w:color w:val="000000"/>
          <w:sz w:val="24"/>
          <w:szCs w:val="24"/>
          <w:lang w:eastAsia="fr-FR"/>
        </w:rPr>
        <w:t xml:space="preserve">Décret </w:t>
      </w:r>
      <w:r w:rsidR="00077222">
        <w:rPr>
          <w:rFonts w:ascii="Calibri" w:eastAsia="Times New Roman" w:hAnsi="Calibri" w:cs="Times New Roman"/>
          <w:color w:val="000000"/>
          <w:sz w:val="24"/>
          <w:szCs w:val="24"/>
          <w:lang w:eastAsia="fr-FR"/>
        </w:rPr>
        <w:t xml:space="preserve">du n° 2021-310 du 24 mars 2021 instituant une aide visant à compenser les coûts fixes non couverts des entreprises dont l’activité est particulièrement affectée par l’épidémie de Covid-19 : </w:t>
      </w:r>
    </w:p>
    <w:p w14:paraId="6BDBA7E8" w14:textId="24440C6E" w:rsidR="004A3ADF" w:rsidRPr="004A3ADF" w:rsidRDefault="00077222" w:rsidP="004A3ADF">
      <w:pPr>
        <w:spacing w:after="0" w:line="240" w:lineRule="auto"/>
        <w:jc w:val="both"/>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L</w:t>
      </w:r>
      <w:r w:rsidR="004A3ADF" w:rsidRPr="004A3ADF">
        <w:rPr>
          <w:rFonts w:ascii="Calibri" w:eastAsia="Times New Roman" w:hAnsi="Calibri" w:cs="Times New Roman"/>
          <w:color w:val="000000"/>
          <w:sz w:val="24"/>
          <w:szCs w:val="24"/>
          <w:lang w:eastAsia="fr-FR"/>
        </w:rPr>
        <w:t xml:space="preserve">es entreprises fermées administrativement en raison de la pandémie </w:t>
      </w:r>
      <w:r>
        <w:rPr>
          <w:rFonts w:ascii="Calibri" w:eastAsia="Times New Roman" w:hAnsi="Calibri" w:cs="Times New Roman"/>
          <w:color w:val="000000"/>
          <w:sz w:val="24"/>
          <w:szCs w:val="24"/>
          <w:lang w:eastAsia="fr-FR"/>
        </w:rPr>
        <w:t xml:space="preserve">et </w:t>
      </w:r>
      <w:r w:rsidR="004A3ADF" w:rsidRPr="004A3ADF">
        <w:rPr>
          <w:rFonts w:ascii="Calibri" w:eastAsia="Times New Roman" w:hAnsi="Calibri" w:cs="Times New Roman"/>
          <w:color w:val="000000"/>
          <w:sz w:val="24"/>
          <w:szCs w:val="24"/>
          <w:lang w:eastAsia="fr-FR"/>
        </w:rPr>
        <w:t>les entreprises des secteurs S1 et S1 bis qui bénéficient d</w:t>
      </w:r>
      <w:r>
        <w:rPr>
          <w:rFonts w:ascii="Calibri" w:eastAsia="Times New Roman" w:hAnsi="Calibri" w:cs="Times New Roman"/>
          <w:color w:val="000000"/>
          <w:sz w:val="24"/>
          <w:szCs w:val="24"/>
          <w:lang w:eastAsia="fr-FR"/>
        </w:rPr>
        <w:t>u</w:t>
      </w:r>
      <w:r w:rsidR="004A3ADF" w:rsidRPr="004A3ADF">
        <w:rPr>
          <w:rFonts w:ascii="Calibri" w:eastAsia="Times New Roman" w:hAnsi="Calibri" w:cs="Times New Roman"/>
          <w:color w:val="000000"/>
          <w:sz w:val="24"/>
          <w:szCs w:val="24"/>
          <w:lang w:eastAsia="fr-FR"/>
        </w:rPr>
        <w:t xml:space="preserve"> fonds de solidarité se voient attribuer une aide supplémentaire : la prise en charge de leurs coûts fixes.</w:t>
      </w:r>
    </w:p>
    <w:p w14:paraId="64C55D33" w14:textId="4951360C" w:rsidR="004A3ADF" w:rsidRPr="00077222" w:rsidRDefault="004A3ADF" w:rsidP="00077222">
      <w:pPr>
        <w:spacing w:after="0" w:line="240" w:lineRule="auto"/>
        <w:jc w:val="both"/>
        <w:rPr>
          <w:rFonts w:ascii="Calibri" w:eastAsia="Times New Roman" w:hAnsi="Calibri" w:cs="Times New Roman"/>
          <w:color w:val="000000"/>
          <w:sz w:val="24"/>
          <w:szCs w:val="24"/>
          <w:lang w:eastAsia="fr-FR"/>
        </w:rPr>
      </w:pPr>
      <w:r w:rsidRPr="00077222">
        <w:rPr>
          <w:rFonts w:ascii="Calibri" w:eastAsia="Times New Roman" w:hAnsi="Calibri" w:cs="Times New Roman"/>
          <w:color w:val="000000"/>
          <w:sz w:val="24"/>
          <w:szCs w:val="24"/>
          <w:lang w:eastAsia="fr-FR"/>
        </w:rPr>
        <w:t>Les conditions de cette aide </w:t>
      </w:r>
      <w:r w:rsidR="00077222">
        <w:rPr>
          <w:rFonts w:ascii="Calibri" w:eastAsia="Times New Roman" w:hAnsi="Calibri" w:cs="Times New Roman"/>
          <w:color w:val="000000"/>
          <w:sz w:val="24"/>
          <w:szCs w:val="24"/>
          <w:lang w:eastAsia="fr-FR"/>
        </w:rPr>
        <w:t xml:space="preserve">sont les suivantes : </w:t>
      </w:r>
    </w:p>
    <w:p w14:paraId="0295595A" w14:textId="624DA753" w:rsidR="004A3ADF" w:rsidRPr="004A3ADF" w:rsidRDefault="00077222" w:rsidP="00787A88">
      <w:pPr>
        <w:pStyle w:val="Paragraphedeliste"/>
        <w:numPr>
          <w:ilvl w:val="0"/>
          <w:numId w:val="21"/>
        </w:numPr>
        <w:spacing w:after="0" w:line="240" w:lineRule="auto"/>
        <w:jc w:val="both"/>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A</w:t>
      </w:r>
      <w:r w:rsidR="004A3ADF" w:rsidRPr="004A3ADF">
        <w:rPr>
          <w:rFonts w:ascii="Calibri" w:eastAsia="Times New Roman" w:hAnsi="Calibri" w:cs="Times New Roman"/>
          <w:color w:val="000000"/>
          <w:sz w:val="24"/>
          <w:szCs w:val="24"/>
          <w:lang w:eastAsia="fr-FR"/>
        </w:rPr>
        <w:t xml:space="preserve">voir été créées avant le 1er janvier 2019 ; </w:t>
      </w:r>
    </w:p>
    <w:p w14:paraId="369193C8" w14:textId="51223E72" w:rsidR="004A3ADF" w:rsidRPr="004A3ADF" w:rsidRDefault="00077222" w:rsidP="00787A88">
      <w:pPr>
        <w:pStyle w:val="Paragraphedeliste"/>
        <w:numPr>
          <w:ilvl w:val="0"/>
          <w:numId w:val="21"/>
        </w:numPr>
        <w:spacing w:after="0" w:line="240" w:lineRule="auto"/>
        <w:jc w:val="both"/>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R</w:t>
      </w:r>
      <w:r w:rsidR="004A3ADF" w:rsidRPr="004A3ADF">
        <w:rPr>
          <w:rFonts w:ascii="Calibri" w:eastAsia="Times New Roman" w:hAnsi="Calibri" w:cs="Times New Roman"/>
          <w:color w:val="000000"/>
          <w:sz w:val="24"/>
          <w:szCs w:val="24"/>
          <w:lang w:eastAsia="fr-FR"/>
        </w:rPr>
        <w:t>éalis</w:t>
      </w:r>
      <w:r>
        <w:rPr>
          <w:rFonts w:ascii="Calibri" w:eastAsia="Times New Roman" w:hAnsi="Calibri" w:cs="Times New Roman"/>
          <w:color w:val="000000"/>
          <w:sz w:val="24"/>
          <w:szCs w:val="24"/>
          <w:lang w:eastAsia="fr-FR"/>
        </w:rPr>
        <w:t>er</w:t>
      </w:r>
      <w:r w:rsidR="004A3ADF" w:rsidRPr="004A3ADF">
        <w:rPr>
          <w:rFonts w:ascii="Calibri" w:eastAsia="Times New Roman" w:hAnsi="Calibri" w:cs="Times New Roman"/>
          <w:color w:val="000000"/>
          <w:sz w:val="24"/>
          <w:szCs w:val="24"/>
          <w:lang w:eastAsia="fr-FR"/>
        </w:rPr>
        <w:t xml:space="preserve"> plus d’1 million d’euros de chiffre d’affaires mensuel ou 12 millions d’euros de chiffre d’affaires annuel ; </w:t>
      </w:r>
    </w:p>
    <w:p w14:paraId="09DF4172" w14:textId="22B4A053" w:rsidR="004A3ADF" w:rsidRPr="004A3ADF" w:rsidRDefault="00077222" w:rsidP="00787A88">
      <w:pPr>
        <w:pStyle w:val="Paragraphedeliste"/>
        <w:numPr>
          <w:ilvl w:val="0"/>
          <w:numId w:val="21"/>
        </w:numPr>
        <w:spacing w:after="0" w:line="240" w:lineRule="auto"/>
        <w:jc w:val="both"/>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J</w:t>
      </w:r>
      <w:r w:rsidR="004A3ADF" w:rsidRPr="004A3ADF">
        <w:rPr>
          <w:rFonts w:ascii="Calibri" w:eastAsia="Times New Roman" w:hAnsi="Calibri" w:cs="Times New Roman"/>
          <w:color w:val="000000"/>
          <w:sz w:val="24"/>
          <w:szCs w:val="24"/>
          <w:lang w:eastAsia="fr-FR"/>
        </w:rPr>
        <w:t>ustifi</w:t>
      </w:r>
      <w:r>
        <w:rPr>
          <w:rFonts w:ascii="Calibri" w:eastAsia="Times New Roman" w:hAnsi="Calibri" w:cs="Times New Roman"/>
          <w:color w:val="000000"/>
          <w:sz w:val="24"/>
          <w:szCs w:val="24"/>
          <w:lang w:eastAsia="fr-FR"/>
        </w:rPr>
        <w:t>er</w:t>
      </w:r>
      <w:r w:rsidR="004A3ADF" w:rsidRPr="004A3ADF">
        <w:rPr>
          <w:rFonts w:ascii="Calibri" w:eastAsia="Times New Roman" w:hAnsi="Calibri" w:cs="Times New Roman"/>
          <w:color w:val="000000"/>
          <w:sz w:val="24"/>
          <w:szCs w:val="24"/>
          <w:lang w:eastAsia="fr-FR"/>
        </w:rPr>
        <w:t xml:space="preserve"> d’une perte d’au moins 50% de chiffre d’affaires et éligibles au fonds de solidarité en janvier 2021 ou en février 2021.</w:t>
      </w:r>
    </w:p>
    <w:p w14:paraId="19E1EB3F" w14:textId="77777777" w:rsidR="00077222" w:rsidRDefault="00077222" w:rsidP="004A3ADF">
      <w:pPr>
        <w:spacing w:after="0" w:line="240" w:lineRule="auto"/>
        <w:jc w:val="both"/>
        <w:rPr>
          <w:rFonts w:ascii="Calibri" w:eastAsia="Times New Roman" w:hAnsi="Calibri" w:cs="Times New Roman"/>
          <w:color w:val="000000"/>
          <w:sz w:val="24"/>
          <w:szCs w:val="24"/>
          <w:lang w:eastAsia="fr-FR"/>
        </w:rPr>
      </w:pPr>
    </w:p>
    <w:p w14:paraId="54DE581A" w14:textId="6A55580F" w:rsidR="004A3ADF" w:rsidRDefault="004A3ADF" w:rsidP="004A3ADF">
      <w:pPr>
        <w:spacing w:after="0" w:line="240" w:lineRule="auto"/>
        <w:jc w:val="both"/>
        <w:rPr>
          <w:rFonts w:ascii="Calibri" w:eastAsia="Times New Roman" w:hAnsi="Calibri" w:cs="Times New Roman"/>
          <w:color w:val="000000"/>
          <w:sz w:val="24"/>
          <w:szCs w:val="24"/>
          <w:lang w:eastAsia="fr-FR"/>
        </w:rPr>
      </w:pPr>
      <w:r w:rsidRPr="004A3ADF">
        <w:rPr>
          <w:rFonts w:ascii="Calibri" w:eastAsia="Times New Roman" w:hAnsi="Calibri" w:cs="Times New Roman"/>
          <w:color w:val="000000"/>
          <w:sz w:val="24"/>
          <w:szCs w:val="24"/>
          <w:lang w:eastAsia="fr-FR"/>
        </w:rPr>
        <w:t xml:space="preserve">Mais pour les entreprises de plus petite taille, touchées par la crise sanitaire, la condition du chiffre d’affaires plancher de 1 million d’euros n’est pas prise en compte, il suffit simplement que les </w:t>
      </w:r>
      <w:r w:rsidR="00077222">
        <w:rPr>
          <w:rFonts w:ascii="Calibri" w:eastAsia="Times New Roman" w:hAnsi="Calibri" w:cs="Times New Roman"/>
          <w:color w:val="000000"/>
          <w:sz w:val="24"/>
          <w:szCs w:val="24"/>
          <w:lang w:eastAsia="fr-FR"/>
        </w:rPr>
        <w:t>deux</w:t>
      </w:r>
      <w:r w:rsidRPr="004A3ADF">
        <w:rPr>
          <w:rFonts w:ascii="Calibri" w:eastAsia="Times New Roman" w:hAnsi="Calibri" w:cs="Times New Roman"/>
          <w:color w:val="000000"/>
          <w:sz w:val="24"/>
          <w:szCs w:val="24"/>
          <w:lang w:eastAsia="fr-FR"/>
        </w:rPr>
        <w:t xml:space="preserve"> autres conditions soient remplies.</w:t>
      </w:r>
    </w:p>
    <w:p w14:paraId="7A915299" w14:textId="67203673" w:rsidR="00C87B1A" w:rsidRPr="004A3ADF" w:rsidRDefault="00C87B1A" w:rsidP="004A3ADF">
      <w:pPr>
        <w:spacing w:after="0" w:line="240" w:lineRule="auto"/>
        <w:jc w:val="both"/>
        <w:rPr>
          <w:rFonts w:ascii="Calibri" w:eastAsia="Times New Roman" w:hAnsi="Calibri" w:cs="Times New Roman"/>
          <w:color w:val="000000"/>
          <w:sz w:val="24"/>
          <w:szCs w:val="24"/>
          <w:lang w:eastAsia="fr-FR"/>
        </w:rPr>
      </w:pPr>
      <w:r w:rsidRPr="004A3ADF">
        <w:rPr>
          <w:rFonts w:ascii="Calibri" w:hAnsi="Calibri"/>
          <w:noProof/>
          <w:sz w:val="24"/>
          <w:szCs w:val="24"/>
        </w:rPr>
        <mc:AlternateContent>
          <mc:Choice Requires="wps">
            <w:drawing>
              <wp:anchor distT="152400" distB="152400" distL="152400" distR="152400" simplePos="0" relativeHeight="251654656" behindDoc="0" locked="0" layoutInCell="1" allowOverlap="1" wp14:anchorId="69025FB3" wp14:editId="1F1FBF46">
                <wp:simplePos x="0" y="0"/>
                <wp:positionH relativeFrom="margin">
                  <wp:posOffset>-780415</wp:posOffset>
                </wp:positionH>
                <wp:positionV relativeFrom="page">
                  <wp:posOffset>4205605</wp:posOffset>
                </wp:positionV>
                <wp:extent cx="6565900" cy="1270000"/>
                <wp:effectExtent l="0" t="0" r="25400" b="25400"/>
                <wp:wrapTopAndBottom distT="152400" distB="152400"/>
                <wp:docPr id="6" name="officeArt object"/>
                <wp:cNvGraphicFramePr/>
                <a:graphic xmlns:a="http://schemas.openxmlformats.org/drawingml/2006/main">
                  <a:graphicData uri="http://schemas.microsoft.com/office/word/2010/wordprocessingShape">
                    <wps:wsp>
                      <wps:cNvSpPr/>
                      <wps:spPr>
                        <a:xfrm>
                          <a:off x="0" y="0"/>
                          <a:ext cx="6565900" cy="1270000"/>
                        </a:xfrm>
                        <a:prstGeom prst="roundRect">
                          <a:avLst>
                            <a:gd name="adj" fmla="val 15000"/>
                          </a:avLst>
                        </a:prstGeom>
                        <a:ln/>
                      </wps:spPr>
                      <wps:style>
                        <a:lnRef idx="1">
                          <a:schemeClr val="accent1"/>
                        </a:lnRef>
                        <a:fillRef idx="3">
                          <a:schemeClr val="accent1"/>
                        </a:fillRef>
                        <a:effectRef idx="2">
                          <a:schemeClr val="accent1"/>
                        </a:effectRef>
                        <a:fontRef idx="minor">
                          <a:schemeClr val="lt1"/>
                        </a:fontRef>
                      </wps:style>
                      <wps:txbx>
                        <w:txbxContent>
                          <w:p w14:paraId="020D05B8" w14:textId="208C3313" w:rsidR="001B776C" w:rsidRDefault="001B776C" w:rsidP="001B776C">
                            <w:pPr>
                              <w:pStyle w:val="tiquette"/>
                              <w:ind w:left="283"/>
                            </w:pPr>
                            <w:r>
                              <w:rPr>
                                <w:sz w:val="52"/>
                                <w:szCs w:val="52"/>
                              </w:rPr>
                              <w:t>Le prêt garanti par l’État (PGE)</w:t>
                            </w:r>
                          </w:p>
                        </w:txbxContent>
                      </wps:txbx>
                      <wps:bodyPr wrap="square" lIns="50800" tIns="50800" rIns="50800" bIns="50800" numCol="1" anchor="ctr">
                        <a:noAutofit/>
                      </wps:bodyPr>
                    </wps:wsp>
                  </a:graphicData>
                </a:graphic>
              </wp:anchor>
            </w:drawing>
          </mc:Choice>
          <mc:Fallback>
            <w:pict>
              <v:roundrect w14:anchorId="69025FB3" id="_x0000_s1027" style="position:absolute;left:0;text-align:left;margin-left:-61.45pt;margin-top:331.15pt;width:517pt;height:100pt;z-index:251654656;visibility:visible;mso-wrap-style:square;mso-wrap-distance-left:12pt;mso-wrap-distance-top:12pt;mso-wrap-distance-right:12pt;mso-wrap-distance-bottom:12pt;mso-position-horizontal:absolute;mso-position-horizontal-relative:margin;mso-position-vertical:absolute;mso-position-vertical-relative:page;v-text-anchor:middle" arcsize="983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bo5EwIAAIMEAAAOAAAAZHJzL2Uyb0RvYy54bWysVFFv2yAQfp+0/4B4X2xnStZGcaqq1aZJ&#13;&#10;01a16w8gGGIq4BiQ2Pn3O7DjROukStPyQDi4++677w6vb3qjyUH4oMDWtJqVlAjLoVF2V9Pnn58/&#13;&#10;XFESIrMN02BFTY8i0JvN+3frzq3EHFrQjfAEQWxYda6mbYxuVRSBt8KwMAMnLF5K8IZFNP2uaDzr&#13;&#10;EN3oYl6Wy6ID3zgPXISAp/fDJd1kfCkFjz+kDCISXVPkFvPq87pNa7FZs9XOM9cqPtJg/8DCMGUx&#13;&#10;6QR1zyIje69eQRnFPQSQccbBFCCl4iLXgNVU5R/VPLXMiVwLihPcJFP4f7D8++HBE9XUdEmJZQZb&#13;&#10;NJC69ZHA9gUFTBp1LqzQ9ck9+NEKuE0F99Kb9I9RpM+6HiddRR8Jx8PlYrm4LlF+jnfV/FOJv4Ra&#13;&#10;nMOdD/GLAEPSpqYe9rZ5TMkTNjt8CzGr24wcWfNCiTQae3VgmlSLM+LojNgnzBSpbcqXyhiI5108&#13;&#10;ajFcPgqJIiDVKifM4yfutCeIXlPGubCxGilri94pTCqtp8CPbweO/ilU5NGcgudvB08ROTPYOAUb&#13;&#10;ZcH/DUBPlOXgf1JgqDtJEPttn7ufi0snW2iOOBEdPomahl975gUl+qvFmVuUV6mJ8dLwl8b20rB7&#13;&#10;cwcoXkUJs7wFfHQ8Djwt3O4jSBVPPRmSjvRw0vNojK8yPaVLO3udvx2b3wAAAP//AwBQSwMEFAAG&#13;&#10;AAgAAAAhABLUBRnmAAAAEQEAAA8AAABkcnMvZG93bnJldi54bWxMT11LwzAUfRf8D+EOfNvSpFK2&#13;&#10;rrdD1AkKE1zne9pkbVmT1Cbrun9v9qQvF+49556PbDPpjoxqcK01CGwRAVGmsrI1NcKh2M6XQJwX&#13;&#10;RorOGoVwVQ42+f1dJlJpL+ZLjXtfkyBiXCoQGu/7lFJXNUoLt7C9MgE72kELH9ahpnIQlyCuO8qj&#13;&#10;KKFatCY4NKJXz42qTvuzRhiLx+sP35UfxefhdfvWnWL6/R4jPsyml3UYT2sgXk3+7wNuHUJ+yEOw&#13;&#10;0p6NdKRDmDPOV4GLkCQ8BhIoK8YYkBJhebvQPKP/m+S/AAAA//8DAFBLAQItABQABgAIAAAAIQC2&#13;&#10;gziS/gAAAOEBAAATAAAAAAAAAAAAAAAAAAAAAABbQ29udGVudF9UeXBlc10ueG1sUEsBAi0AFAAG&#13;&#10;AAgAAAAhADj9If/WAAAAlAEAAAsAAAAAAAAAAAAAAAAALwEAAF9yZWxzLy5yZWxzUEsBAi0AFAAG&#13;&#10;AAgAAAAhAKodujkTAgAAgwQAAA4AAAAAAAAAAAAAAAAALgIAAGRycy9lMm9Eb2MueG1sUEsBAi0A&#13;&#10;FAAGAAgAAAAhABLUBRnmAAAAEQEAAA8AAAAAAAAAAAAAAAAAbQQAAGRycy9kb3ducmV2LnhtbFBL&#13;&#10;BQYAAAAABAAEAPMAAACABQAAAAA=&#13;&#10;" strokecolor="#6e0808 [1924]">
                <v:fill r:id="rId9" o:title="" recolor="t" rotate="t" type="tile"/>
                <v:imagedata recolortarget="#a10c0c [2820]"/>
                <v:textbox inset="4pt,4pt,4pt,4pt">
                  <w:txbxContent>
                    <w:p w14:paraId="020D05B8" w14:textId="208C3313" w:rsidR="001B776C" w:rsidRDefault="001B776C" w:rsidP="001B776C">
                      <w:pPr>
                        <w:pStyle w:val="tiquette"/>
                        <w:ind w:left="283"/>
                      </w:pPr>
                      <w:r>
                        <w:rPr>
                          <w:sz w:val="52"/>
                          <w:szCs w:val="52"/>
                        </w:rPr>
                        <w:t>Le prêt garanti par l’État (PGE)</w:t>
                      </w:r>
                    </w:p>
                  </w:txbxContent>
                </v:textbox>
                <w10:wrap type="topAndBottom" anchorx="margin" anchory="page"/>
              </v:roundrect>
            </w:pict>
          </mc:Fallback>
        </mc:AlternateContent>
      </w:r>
    </w:p>
    <w:p w14:paraId="1DA42942" w14:textId="29478ADD" w:rsidR="001B776C" w:rsidRPr="004A3ADF" w:rsidRDefault="001B776C" w:rsidP="004A3ADF">
      <w:pPr>
        <w:rPr>
          <w:rFonts w:ascii="Calibri" w:hAnsi="Calibri"/>
          <w:sz w:val="24"/>
          <w:szCs w:val="24"/>
        </w:rPr>
      </w:pPr>
      <w:r w:rsidRPr="001B776C">
        <w:rPr>
          <w:rFonts w:ascii="Calibri" w:eastAsia="Times New Roman" w:hAnsi="Calibri" w:cs="Times New Roman"/>
          <w:color w:val="000000"/>
          <w:sz w:val="24"/>
          <w:szCs w:val="24"/>
          <w:lang w:eastAsia="fr-FR"/>
        </w:rPr>
        <w:t>En réponse aux difficultés de trésorerie rencontrées par les entreprises, des mesures d’accompagnement financier ont été mises en place par le gouvernement. Au total, au 12 mars 2021, 660 786 entreprises bénéficient du prêt garanti par l’Etat. Quel est le bilan un an après et quelles sont les évolutions introduites par les annonces de janvier dernier ?</w:t>
      </w:r>
    </w:p>
    <w:p w14:paraId="3DCF8931" w14:textId="265B085B" w:rsidR="001B776C" w:rsidRPr="001B776C" w:rsidRDefault="001B776C" w:rsidP="001B776C">
      <w:pPr>
        <w:spacing w:before="240" w:after="240" w:line="240" w:lineRule="auto"/>
        <w:jc w:val="both"/>
        <w:rPr>
          <w:rFonts w:ascii="Calibri" w:eastAsia="Times New Roman" w:hAnsi="Calibri" w:cs="Times New Roman"/>
          <w:color w:val="FF0000"/>
          <w:sz w:val="24"/>
          <w:szCs w:val="24"/>
          <w:lang w:eastAsia="fr-FR"/>
        </w:rPr>
      </w:pPr>
      <w:r w:rsidRPr="001B776C">
        <w:rPr>
          <w:rFonts w:ascii="Calibri" w:eastAsia="Times New Roman" w:hAnsi="Calibri" w:cs="Times New Roman"/>
          <w:color w:val="FF0000"/>
          <w:sz w:val="24"/>
          <w:szCs w:val="24"/>
          <w:lang w:eastAsia="fr-FR"/>
        </w:rPr>
        <w:t xml:space="preserve">Ce qui ne change pas : </w:t>
      </w:r>
    </w:p>
    <w:p w14:paraId="1D7A6C6F" w14:textId="79C7CC35" w:rsidR="001B776C" w:rsidRPr="00787A88" w:rsidRDefault="001B776C" w:rsidP="00787A88">
      <w:pPr>
        <w:pStyle w:val="Paragraphedeliste"/>
        <w:numPr>
          <w:ilvl w:val="0"/>
          <w:numId w:val="28"/>
        </w:numPr>
        <w:spacing w:before="240" w:after="240" w:line="240" w:lineRule="auto"/>
        <w:jc w:val="both"/>
        <w:rPr>
          <w:rFonts w:ascii="Calibri" w:eastAsia="Times New Roman" w:hAnsi="Calibri" w:cs="Times New Roman"/>
          <w:color w:val="000000"/>
          <w:sz w:val="24"/>
          <w:szCs w:val="24"/>
          <w:lang w:eastAsia="fr-FR"/>
        </w:rPr>
      </w:pPr>
      <w:r w:rsidRPr="00787A88">
        <w:rPr>
          <w:rFonts w:ascii="Calibri" w:eastAsia="Times New Roman" w:hAnsi="Calibri" w:cs="Times New Roman"/>
          <w:color w:val="000000"/>
          <w:sz w:val="24"/>
          <w:szCs w:val="24"/>
          <w:lang w:eastAsia="fr-FR"/>
        </w:rPr>
        <w:t>Comme depuis avril 2020, les entreprises peuvent souscrire un prêt garanti par l’Etat auprès de leur établissement bancaire habituel. Et depuis le 6 mai 2020 cette possibilité a été élargie auprès des plateformes de prêt ayant le statut d’intermédiaire en financement participatif.</w:t>
      </w:r>
    </w:p>
    <w:p w14:paraId="781C65EB" w14:textId="759C2ACD" w:rsidR="001B776C" w:rsidRPr="00787A88" w:rsidRDefault="001B776C" w:rsidP="00787A88">
      <w:pPr>
        <w:pStyle w:val="Paragraphedeliste"/>
        <w:numPr>
          <w:ilvl w:val="0"/>
          <w:numId w:val="28"/>
        </w:numPr>
        <w:spacing w:before="240" w:after="240" w:line="240" w:lineRule="auto"/>
        <w:jc w:val="both"/>
        <w:rPr>
          <w:rFonts w:ascii="Calibri" w:eastAsia="Times New Roman" w:hAnsi="Calibri" w:cs="Times New Roman"/>
          <w:color w:val="000000"/>
          <w:sz w:val="24"/>
          <w:szCs w:val="24"/>
          <w:lang w:eastAsia="fr-FR"/>
        </w:rPr>
      </w:pPr>
      <w:r w:rsidRPr="00787A88">
        <w:rPr>
          <w:rFonts w:ascii="Calibri" w:eastAsia="Times New Roman" w:hAnsi="Calibri" w:cs="Times New Roman"/>
          <w:color w:val="000000"/>
          <w:sz w:val="24"/>
          <w:szCs w:val="24"/>
          <w:lang w:eastAsia="fr-FR"/>
        </w:rPr>
        <w:t>Tous les PGE comportent un différé d’amortissement minimal de 12 mois et une clause permettant à l’emprunteur de faire le choix d’un amortissement sur une période additionnelle de 1 à 5 ans sans que la durée du prêt ne soit supérieure à 6 ans.</w:t>
      </w:r>
    </w:p>
    <w:p w14:paraId="706B637D" w14:textId="413BB031" w:rsidR="001B776C" w:rsidRPr="00787A88" w:rsidRDefault="001B776C" w:rsidP="00787A88">
      <w:pPr>
        <w:pStyle w:val="Paragraphedeliste"/>
        <w:numPr>
          <w:ilvl w:val="0"/>
          <w:numId w:val="28"/>
        </w:numPr>
        <w:spacing w:before="240" w:after="240" w:line="240" w:lineRule="auto"/>
        <w:jc w:val="both"/>
        <w:rPr>
          <w:rFonts w:ascii="Calibri" w:eastAsia="Times New Roman" w:hAnsi="Calibri" w:cs="Times New Roman"/>
          <w:color w:val="000000"/>
          <w:sz w:val="24"/>
          <w:szCs w:val="24"/>
          <w:lang w:eastAsia="fr-FR"/>
        </w:rPr>
      </w:pPr>
      <w:r w:rsidRPr="00787A88">
        <w:rPr>
          <w:rFonts w:ascii="Calibri" w:eastAsia="Times New Roman" w:hAnsi="Calibri" w:cs="Times New Roman"/>
          <w:color w:val="000000"/>
          <w:sz w:val="24"/>
          <w:szCs w:val="24"/>
          <w:lang w:eastAsia="fr-FR"/>
        </w:rPr>
        <w:t xml:space="preserve">Toutes les entreprises sans considération de taille, de statut ou de forme juridique peuvent prétendre à un PGE, exceptés certaines </w:t>
      </w:r>
      <w:r w:rsidR="00CC1BC4" w:rsidRPr="00787A88">
        <w:rPr>
          <w:rFonts w:ascii="Calibri" w:eastAsia="Times New Roman" w:hAnsi="Calibri" w:cs="Times New Roman"/>
          <w:color w:val="000000"/>
          <w:sz w:val="24"/>
          <w:szCs w:val="24"/>
          <w:lang w:eastAsia="fr-FR"/>
        </w:rPr>
        <w:t>s</w:t>
      </w:r>
      <w:r w:rsidRPr="00787A88">
        <w:rPr>
          <w:rFonts w:ascii="Calibri" w:eastAsia="Times New Roman" w:hAnsi="Calibri" w:cs="Times New Roman"/>
          <w:color w:val="000000"/>
          <w:sz w:val="24"/>
          <w:szCs w:val="24"/>
          <w:lang w:eastAsia="fr-FR"/>
        </w:rPr>
        <w:t xml:space="preserve">ociétés civiles immobilières, les établissements de crédits et </w:t>
      </w:r>
      <w:r w:rsidR="00CC1BC4" w:rsidRPr="00787A88">
        <w:rPr>
          <w:rFonts w:ascii="Calibri" w:eastAsia="Times New Roman" w:hAnsi="Calibri" w:cs="Times New Roman"/>
          <w:color w:val="000000"/>
          <w:sz w:val="24"/>
          <w:szCs w:val="24"/>
          <w:lang w:eastAsia="fr-FR"/>
        </w:rPr>
        <w:t xml:space="preserve">les </w:t>
      </w:r>
      <w:r w:rsidRPr="00787A88">
        <w:rPr>
          <w:rFonts w:ascii="Calibri" w:eastAsia="Times New Roman" w:hAnsi="Calibri" w:cs="Times New Roman"/>
          <w:color w:val="000000"/>
          <w:sz w:val="24"/>
          <w:szCs w:val="24"/>
          <w:lang w:eastAsia="fr-FR"/>
        </w:rPr>
        <w:t>sociétés de financement.</w:t>
      </w:r>
    </w:p>
    <w:p w14:paraId="1497CA7E" w14:textId="61B0D8E5" w:rsidR="001B776C" w:rsidRPr="00787A88" w:rsidRDefault="001B776C" w:rsidP="00787A88">
      <w:pPr>
        <w:pStyle w:val="Paragraphedeliste"/>
        <w:numPr>
          <w:ilvl w:val="0"/>
          <w:numId w:val="28"/>
        </w:numPr>
        <w:spacing w:before="240" w:after="240" w:line="240" w:lineRule="auto"/>
        <w:jc w:val="both"/>
        <w:rPr>
          <w:rFonts w:ascii="Calibri" w:eastAsia="Times New Roman" w:hAnsi="Calibri" w:cs="Times New Roman"/>
          <w:color w:val="000000"/>
          <w:sz w:val="24"/>
          <w:szCs w:val="24"/>
          <w:lang w:eastAsia="fr-FR"/>
        </w:rPr>
      </w:pPr>
      <w:r w:rsidRPr="00787A88">
        <w:rPr>
          <w:rFonts w:ascii="Calibri" w:eastAsia="Times New Roman" w:hAnsi="Calibri" w:cs="Times New Roman"/>
          <w:color w:val="000000"/>
          <w:sz w:val="24"/>
          <w:szCs w:val="24"/>
          <w:lang w:eastAsia="fr-FR"/>
        </w:rPr>
        <w:t>En ce qui concerne le montant du PGE, il peut s’élever à 3 mois d</w:t>
      </w:r>
      <w:r w:rsidR="00000DED" w:rsidRPr="00787A88">
        <w:rPr>
          <w:rFonts w:ascii="Calibri" w:eastAsia="Times New Roman" w:hAnsi="Calibri" w:cs="Times New Roman"/>
          <w:color w:val="000000"/>
          <w:sz w:val="24"/>
          <w:szCs w:val="24"/>
          <w:lang w:eastAsia="fr-FR"/>
        </w:rPr>
        <w:t>e</w:t>
      </w:r>
      <w:r w:rsidRPr="00787A88">
        <w:rPr>
          <w:rFonts w:ascii="Calibri" w:eastAsia="Times New Roman" w:hAnsi="Calibri" w:cs="Times New Roman"/>
          <w:color w:val="000000"/>
          <w:sz w:val="24"/>
          <w:szCs w:val="24"/>
          <w:lang w:eastAsia="fr-FR"/>
        </w:rPr>
        <w:t xml:space="preserve"> chiffre d’affaires ou à 2 ans de masse salariale pour les entreprises innovantes (start-up). Il reste également possible d’effectuer une demande regroupant plusieurs prêts, conditionnée par le fait que le montant cumulé de ces demandes n’excède pas les 25% du chiffre d’affaires ou les 2 ans de masses salariales pour les entreprises en création ou innovantes.</w:t>
      </w:r>
    </w:p>
    <w:p w14:paraId="7B68EBBE" w14:textId="77777777" w:rsidR="00C87B1A" w:rsidRDefault="00C87B1A" w:rsidP="001B776C">
      <w:pPr>
        <w:spacing w:before="240" w:after="240" w:line="240" w:lineRule="auto"/>
        <w:jc w:val="both"/>
        <w:rPr>
          <w:rFonts w:ascii="Calibri" w:eastAsia="Times New Roman" w:hAnsi="Calibri" w:cs="Times New Roman"/>
          <w:color w:val="FF0000"/>
          <w:sz w:val="24"/>
          <w:szCs w:val="24"/>
          <w:lang w:eastAsia="fr-FR"/>
        </w:rPr>
      </w:pPr>
    </w:p>
    <w:p w14:paraId="1E4009D5" w14:textId="59D5D568" w:rsidR="001B776C" w:rsidRPr="001B776C" w:rsidRDefault="001B776C" w:rsidP="001B776C">
      <w:pPr>
        <w:spacing w:before="240" w:after="240" w:line="240" w:lineRule="auto"/>
        <w:jc w:val="both"/>
        <w:rPr>
          <w:rFonts w:ascii="Calibri" w:eastAsia="Times New Roman" w:hAnsi="Calibri" w:cs="Times New Roman"/>
          <w:color w:val="000000"/>
          <w:sz w:val="24"/>
          <w:szCs w:val="24"/>
          <w:lang w:eastAsia="fr-FR"/>
        </w:rPr>
      </w:pPr>
      <w:r w:rsidRPr="001B776C">
        <w:rPr>
          <w:rFonts w:ascii="Calibri" w:eastAsia="Times New Roman" w:hAnsi="Calibri" w:cs="Times New Roman"/>
          <w:color w:val="FF0000"/>
          <w:sz w:val="24"/>
          <w:szCs w:val="24"/>
          <w:lang w:eastAsia="fr-FR"/>
        </w:rPr>
        <w:lastRenderedPageBreak/>
        <w:t xml:space="preserve">Les évolutions </w:t>
      </w:r>
      <w:r w:rsidR="005425C3">
        <w:rPr>
          <w:rFonts w:ascii="Calibri" w:eastAsia="Times New Roman" w:hAnsi="Calibri" w:cs="Times New Roman"/>
          <w:color w:val="FF0000"/>
          <w:sz w:val="24"/>
          <w:szCs w:val="24"/>
          <w:lang w:eastAsia="fr-FR"/>
        </w:rPr>
        <w:t>au</w:t>
      </w:r>
      <w:r w:rsidRPr="001B776C">
        <w:rPr>
          <w:rFonts w:ascii="Calibri" w:eastAsia="Times New Roman" w:hAnsi="Calibri" w:cs="Times New Roman"/>
          <w:color w:val="FF0000"/>
          <w:sz w:val="24"/>
          <w:szCs w:val="24"/>
          <w:lang w:eastAsia="fr-FR"/>
        </w:rPr>
        <w:t xml:space="preserve"> 14 janvier 2021</w:t>
      </w:r>
      <w:r>
        <w:rPr>
          <w:rFonts w:ascii="Calibri" w:eastAsia="Times New Roman" w:hAnsi="Calibri" w:cs="Times New Roman"/>
          <w:color w:val="FF0000"/>
          <w:sz w:val="24"/>
          <w:szCs w:val="24"/>
          <w:lang w:eastAsia="fr-FR"/>
        </w:rPr>
        <w:t xml:space="preserve"> : </w:t>
      </w:r>
    </w:p>
    <w:p w14:paraId="3BD4B6C1" w14:textId="7E8E37E8" w:rsidR="001B776C" w:rsidRPr="00787A88" w:rsidRDefault="001B776C" w:rsidP="00787A88">
      <w:pPr>
        <w:pStyle w:val="Paragraphedeliste"/>
        <w:numPr>
          <w:ilvl w:val="0"/>
          <w:numId w:val="29"/>
        </w:numPr>
        <w:spacing w:before="240" w:after="240" w:line="240" w:lineRule="auto"/>
        <w:jc w:val="both"/>
        <w:rPr>
          <w:rFonts w:ascii="Calibri" w:eastAsia="Times New Roman" w:hAnsi="Calibri" w:cs="Times New Roman"/>
          <w:color w:val="000000"/>
          <w:sz w:val="24"/>
          <w:szCs w:val="24"/>
          <w:lang w:eastAsia="fr-FR"/>
        </w:rPr>
      </w:pPr>
      <w:r w:rsidRPr="00787A88">
        <w:rPr>
          <w:rFonts w:ascii="Calibri" w:eastAsia="Times New Roman" w:hAnsi="Calibri" w:cs="Times New Roman"/>
          <w:color w:val="000000"/>
          <w:sz w:val="24"/>
          <w:szCs w:val="24"/>
          <w:lang w:eastAsia="fr-FR"/>
        </w:rPr>
        <w:t>Les entreprises pourront, en accord avec leur banque, obtenir un différé de remboursement supplémentaire d’une durée de 1 an. Ce qui permettrait aux entreprises les plus fragiles ou à celles dont la stratégie de gestion financière le préconise, de ne commencer à rembourser leur PGE qu’en 2022 si elles l’ont souscrit en 2020.</w:t>
      </w:r>
    </w:p>
    <w:p w14:paraId="5C8E8302" w14:textId="63B8990F" w:rsidR="001B776C" w:rsidRPr="00787A88" w:rsidRDefault="001B776C" w:rsidP="00787A88">
      <w:pPr>
        <w:pStyle w:val="Paragraphedeliste"/>
        <w:numPr>
          <w:ilvl w:val="0"/>
          <w:numId w:val="29"/>
        </w:numPr>
        <w:spacing w:before="240" w:after="240" w:line="240" w:lineRule="auto"/>
        <w:jc w:val="both"/>
        <w:rPr>
          <w:rFonts w:ascii="Calibri" w:eastAsia="Times New Roman" w:hAnsi="Calibri" w:cs="Times New Roman"/>
          <w:color w:val="000000"/>
          <w:sz w:val="24"/>
          <w:szCs w:val="24"/>
          <w:lang w:eastAsia="fr-FR"/>
        </w:rPr>
      </w:pPr>
      <w:r w:rsidRPr="00787A88">
        <w:rPr>
          <w:rFonts w:ascii="Calibri" w:eastAsia="Times New Roman" w:hAnsi="Calibri" w:cs="Times New Roman"/>
          <w:color w:val="000000"/>
          <w:sz w:val="24"/>
          <w:szCs w:val="24"/>
          <w:lang w:eastAsia="fr-FR"/>
        </w:rPr>
        <w:t>Les banques se sont engagées à proposer des taux de remboursement plafonnés aux petites et moyennes entreprises qui souhaitent étaler le remboursement :</w:t>
      </w:r>
    </w:p>
    <w:p w14:paraId="6244C222" w14:textId="05938D95" w:rsidR="001B776C" w:rsidRPr="001B776C" w:rsidRDefault="001B776C" w:rsidP="004F5685">
      <w:pPr>
        <w:pStyle w:val="Paragraphedeliste"/>
        <w:numPr>
          <w:ilvl w:val="0"/>
          <w:numId w:val="7"/>
        </w:numPr>
        <w:spacing w:before="240" w:after="240" w:line="240" w:lineRule="auto"/>
        <w:jc w:val="both"/>
        <w:rPr>
          <w:rFonts w:ascii="Calibri" w:eastAsia="Times New Roman" w:hAnsi="Calibri" w:cs="Times New Roman"/>
          <w:color w:val="000000"/>
          <w:sz w:val="24"/>
          <w:szCs w:val="24"/>
          <w:lang w:eastAsia="fr-FR"/>
        </w:rPr>
      </w:pPr>
      <w:r w:rsidRPr="001B776C">
        <w:rPr>
          <w:rFonts w:ascii="Calibri" w:eastAsia="Times New Roman" w:hAnsi="Calibri" w:cs="Times New Roman"/>
          <w:color w:val="000000"/>
          <w:sz w:val="24"/>
          <w:szCs w:val="24"/>
          <w:lang w:eastAsia="fr-FR"/>
        </w:rPr>
        <w:t xml:space="preserve">1 à 1,5 % pour des prêts remboursés d’ici 2022 ou 2023 ; </w:t>
      </w:r>
    </w:p>
    <w:p w14:paraId="5FCE5FF7" w14:textId="4159739F" w:rsidR="001B776C" w:rsidRPr="001B776C" w:rsidRDefault="001B776C" w:rsidP="004F5685">
      <w:pPr>
        <w:pStyle w:val="Paragraphedeliste"/>
        <w:numPr>
          <w:ilvl w:val="0"/>
          <w:numId w:val="7"/>
        </w:numPr>
        <w:shd w:val="clear" w:color="auto" w:fill="FFFFFF"/>
        <w:spacing w:after="240" w:line="240" w:lineRule="auto"/>
        <w:jc w:val="both"/>
        <w:rPr>
          <w:rFonts w:ascii="Calibri" w:eastAsia="Times New Roman" w:hAnsi="Calibri" w:cs="Times New Roman"/>
          <w:color w:val="000000"/>
          <w:sz w:val="24"/>
          <w:szCs w:val="24"/>
          <w:lang w:eastAsia="fr-FR"/>
        </w:rPr>
      </w:pPr>
      <w:r w:rsidRPr="001B776C">
        <w:rPr>
          <w:rFonts w:ascii="Calibri" w:eastAsia="Times New Roman" w:hAnsi="Calibri" w:cs="Times New Roman"/>
          <w:color w:val="000000"/>
          <w:sz w:val="24"/>
          <w:szCs w:val="24"/>
          <w:lang w:eastAsia="fr-FR"/>
        </w:rPr>
        <w:t>2 à 2,5 % pour des prêts remboursés d’ici 2024 à 2026, coût de la garantie de l’État compris</w:t>
      </w:r>
      <w:r w:rsidRPr="001B776C">
        <w:rPr>
          <w:rFonts w:ascii="Calibri" w:eastAsia="Times New Roman" w:hAnsi="Calibri" w:cs="Arial"/>
          <w:color w:val="000000"/>
          <w:sz w:val="24"/>
          <w:szCs w:val="24"/>
          <w:lang w:eastAsia="fr-FR"/>
        </w:rPr>
        <w:t>.</w:t>
      </w:r>
    </w:p>
    <w:p w14:paraId="48B7AC0D" w14:textId="4660E7CD" w:rsidR="001B776C" w:rsidRPr="001B776C" w:rsidRDefault="001B776C" w:rsidP="001B776C">
      <w:pPr>
        <w:spacing w:after="240" w:line="240" w:lineRule="auto"/>
        <w:rPr>
          <w:rFonts w:ascii="Calibri" w:eastAsia="Times New Roman" w:hAnsi="Calibri" w:cs="Times New Roman"/>
          <w:color w:val="FF0000"/>
          <w:sz w:val="24"/>
          <w:szCs w:val="24"/>
          <w:lang w:eastAsia="fr-FR"/>
        </w:rPr>
      </w:pPr>
      <w:r w:rsidRPr="001B776C">
        <w:rPr>
          <w:rFonts w:ascii="Calibri" w:eastAsia="Times New Roman" w:hAnsi="Calibri" w:cs="Times New Roman"/>
          <w:color w:val="FF0000"/>
          <w:sz w:val="24"/>
          <w:szCs w:val="24"/>
          <w:lang w:eastAsia="fr-FR"/>
        </w:rPr>
        <w:t xml:space="preserve">Quel bilan de l’utilisation du prêt garanti par l’Etat depuis sa mise en œuvre ? </w:t>
      </w:r>
    </w:p>
    <w:p w14:paraId="713CE0BF" w14:textId="54929EA5" w:rsidR="001B776C" w:rsidRPr="001B776C" w:rsidRDefault="001B776C" w:rsidP="001B776C">
      <w:pPr>
        <w:spacing w:after="0" w:line="240" w:lineRule="auto"/>
        <w:rPr>
          <w:rFonts w:ascii="Times New Roman" w:eastAsia="Times New Roman" w:hAnsi="Times New Roman" w:cs="Times New Roman"/>
          <w:sz w:val="24"/>
          <w:szCs w:val="24"/>
          <w:lang w:eastAsia="fr-FR"/>
        </w:rPr>
      </w:pPr>
      <w:r w:rsidRPr="001B776C">
        <w:rPr>
          <w:rFonts w:ascii="Calibri" w:eastAsia="Times New Roman" w:hAnsi="Calibri" w:cs="Times New Roman"/>
          <w:color w:val="000000"/>
          <w:sz w:val="24"/>
          <w:szCs w:val="24"/>
          <w:bdr w:val="none" w:sz="0" w:space="0" w:color="auto" w:frame="1"/>
          <w:lang w:eastAsia="fr-FR"/>
        </w:rPr>
        <w:fldChar w:fldCharType="begin"/>
      </w:r>
      <w:r w:rsidRPr="001B776C">
        <w:rPr>
          <w:rFonts w:ascii="Calibri" w:eastAsia="Times New Roman" w:hAnsi="Calibri" w:cs="Times New Roman"/>
          <w:color w:val="000000"/>
          <w:sz w:val="24"/>
          <w:szCs w:val="24"/>
          <w:bdr w:val="none" w:sz="0" w:space="0" w:color="auto" w:frame="1"/>
          <w:lang w:eastAsia="fr-FR"/>
        </w:rPr>
        <w:instrText xml:space="preserve"> INCLUDEPICTURE "https://lh6.googleusercontent.com/4umP7N56COvLRnYajg_xR8Tyh32Cm1mEl_1sxj8zeRNWPTNs1VUDsz7f-pTp1LjdIli5CL795vZsFKBaIsgYKV--yerKm5gvKMMXdNa0zgkBJYTn8IFFE4pjqkpWyQ" \* MERGEFORMATINET </w:instrText>
      </w:r>
      <w:r w:rsidRPr="001B776C">
        <w:rPr>
          <w:rFonts w:ascii="Calibri" w:eastAsia="Times New Roman" w:hAnsi="Calibri" w:cs="Times New Roman"/>
          <w:color w:val="000000"/>
          <w:sz w:val="24"/>
          <w:szCs w:val="24"/>
          <w:bdr w:val="none" w:sz="0" w:space="0" w:color="auto" w:frame="1"/>
          <w:lang w:eastAsia="fr-FR"/>
        </w:rPr>
        <w:fldChar w:fldCharType="separate"/>
      </w:r>
      <w:r w:rsidRPr="001B776C">
        <w:rPr>
          <w:rFonts w:ascii="Calibri" w:eastAsia="Times New Roman" w:hAnsi="Calibri" w:cs="Times New Roman"/>
          <w:noProof/>
          <w:color w:val="000000"/>
          <w:sz w:val="24"/>
          <w:szCs w:val="24"/>
          <w:bdr w:val="none" w:sz="0" w:space="0" w:color="auto" w:frame="1"/>
          <w:lang w:eastAsia="fr-FR"/>
        </w:rPr>
        <w:drawing>
          <wp:inline distT="0" distB="0" distL="0" distR="0" wp14:anchorId="51857C54" wp14:editId="4AD22FCF">
            <wp:extent cx="6642100" cy="1854200"/>
            <wp:effectExtent l="0" t="0" r="0" b="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2100" cy="1854200"/>
                    </a:xfrm>
                    <a:prstGeom prst="rect">
                      <a:avLst/>
                    </a:prstGeom>
                    <a:noFill/>
                    <a:ln>
                      <a:noFill/>
                    </a:ln>
                  </pic:spPr>
                </pic:pic>
              </a:graphicData>
            </a:graphic>
          </wp:inline>
        </w:drawing>
      </w:r>
      <w:r w:rsidRPr="001B776C">
        <w:rPr>
          <w:rFonts w:ascii="Calibri" w:eastAsia="Times New Roman" w:hAnsi="Calibri" w:cs="Times New Roman"/>
          <w:color w:val="000000"/>
          <w:sz w:val="24"/>
          <w:szCs w:val="24"/>
          <w:bdr w:val="none" w:sz="0" w:space="0" w:color="auto" w:frame="1"/>
          <w:lang w:eastAsia="fr-FR"/>
        </w:rPr>
        <w:fldChar w:fldCharType="end"/>
      </w:r>
    </w:p>
    <w:p w14:paraId="23AD4BD8" w14:textId="4D07F86E" w:rsidR="001B776C" w:rsidRPr="001B776C" w:rsidRDefault="001B776C" w:rsidP="001B776C">
      <w:pPr>
        <w:spacing w:after="0" w:line="240" w:lineRule="auto"/>
        <w:rPr>
          <w:rFonts w:ascii="Times New Roman" w:eastAsia="Times New Roman" w:hAnsi="Times New Roman" w:cs="Times New Roman"/>
          <w:sz w:val="24"/>
          <w:szCs w:val="24"/>
          <w:lang w:eastAsia="fr-FR"/>
        </w:rPr>
      </w:pPr>
      <w:r w:rsidRPr="001B776C">
        <w:rPr>
          <w:rFonts w:ascii="Calibri" w:eastAsia="Times New Roman" w:hAnsi="Calibri" w:cs="Times New Roman"/>
          <w:color w:val="000000"/>
          <w:sz w:val="24"/>
          <w:szCs w:val="24"/>
          <w:bdr w:val="none" w:sz="0" w:space="0" w:color="auto" w:frame="1"/>
          <w:lang w:eastAsia="fr-FR"/>
        </w:rPr>
        <w:fldChar w:fldCharType="begin"/>
      </w:r>
      <w:r w:rsidRPr="001B776C">
        <w:rPr>
          <w:rFonts w:ascii="Calibri" w:eastAsia="Times New Roman" w:hAnsi="Calibri" w:cs="Times New Roman"/>
          <w:color w:val="000000"/>
          <w:sz w:val="24"/>
          <w:szCs w:val="24"/>
          <w:bdr w:val="none" w:sz="0" w:space="0" w:color="auto" w:frame="1"/>
          <w:lang w:eastAsia="fr-FR"/>
        </w:rPr>
        <w:instrText xml:space="preserve"> INCLUDEPICTURE "https://lh5.googleusercontent.com/qgvajn7OHWGfmh0uvdwvR14pnv_lOBkpsw0SjPeV927lCdKvpflR2wiEWXdAQ1PzjlEj9dSTIXG-QvL0A8921Q-sKRN5DgGqpKXymww_naRz0V5i1T1-t30FTSl7ug" \* MERGEFORMATINET </w:instrText>
      </w:r>
      <w:r w:rsidRPr="001B776C">
        <w:rPr>
          <w:rFonts w:ascii="Calibri" w:eastAsia="Times New Roman" w:hAnsi="Calibri" w:cs="Times New Roman"/>
          <w:color w:val="000000"/>
          <w:sz w:val="24"/>
          <w:szCs w:val="24"/>
          <w:bdr w:val="none" w:sz="0" w:space="0" w:color="auto" w:frame="1"/>
          <w:lang w:eastAsia="fr-FR"/>
        </w:rPr>
        <w:fldChar w:fldCharType="separate"/>
      </w:r>
      <w:r w:rsidRPr="001B776C">
        <w:rPr>
          <w:rFonts w:ascii="Calibri" w:eastAsia="Times New Roman" w:hAnsi="Calibri" w:cs="Times New Roman"/>
          <w:noProof/>
          <w:color w:val="000000"/>
          <w:sz w:val="24"/>
          <w:szCs w:val="24"/>
          <w:bdr w:val="none" w:sz="0" w:space="0" w:color="auto" w:frame="1"/>
          <w:lang w:eastAsia="fr-FR"/>
        </w:rPr>
        <w:drawing>
          <wp:inline distT="0" distB="0" distL="0" distR="0" wp14:anchorId="47449BDD" wp14:editId="2E1C37C4">
            <wp:extent cx="6642100" cy="4696460"/>
            <wp:effectExtent l="0" t="0" r="0" b="2540"/>
            <wp:docPr id="8" name="Image 8"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abl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2100" cy="4696460"/>
                    </a:xfrm>
                    <a:prstGeom prst="rect">
                      <a:avLst/>
                    </a:prstGeom>
                    <a:noFill/>
                    <a:ln>
                      <a:noFill/>
                    </a:ln>
                  </pic:spPr>
                </pic:pic>
              </a:graphicData>
            </a:graphic>
          </wp:inline>
        </w:drawing>
      </w:r>
      <w:r w:rsidRPr="001B776C">
        <w:rPr>
          <w:rFonts w:ascii="Calibri" w:eastAsia="Times New Roman" w:hAnsi="Calibri" w:cs="Times New Roman"/>
          <w:color w:val="000000"/>
          <w:sz w:val="24"/>
          <w:szCs w:val="24"/>
          <w:bdr w:val="none" w:sz="0" w:space="0" w:color="auto" w:frame="1"/>
          <w:lang w:eastAsia="fr-FR"/>
        </w:rPr>
        <w:fldChar w:fldCharType="end"/>
      </w:r>
    </w:p>
    <w:p w14:paraId="0FE1A88F" w14:textId="69744852" w:rsidR="001B776C" w:rsidRDefault="001B776C" w:rsidP="001B776C">
      <w:pPr>
        <w:spacing w:after="0" w:line="240" w:lineRule="auto"/>
        <w:jc w:val="both"/>
        <w:rPr>
          <w:rFonts w:ascii="Times New Roman" w:eastAsia="Times New Roman" w:hAnsi="Times New Roman" w:cs="Times New Roman"/>
          <w:color w:val="000000"/>
          <w:sz w:val="24"/>
          <w:szCs w:val="24"/>
          <w:lang w:eastAsia="fr-FR"/>
        </w:rPr>
      </w:pPr>
    </w:p>
    <w:p w14:paraId="31C5F0B8" w14:textId="469741F7" w:rsidR="001B776C" w:rsidRPr="001B776C" w:rsidRDefault="001B776C" w:rsidP="001B776C">
      <w:pPr>
        <w:spacing w:before="240" w:after="240" w:line="240" w:lineRule="auto"/>
        <w:jc w:val="both"/>
        <w:rPr>
          <w:rFonts w:ascii="Times New Roman" w:eastAsia="Times New Roman" w:hAnsi="Times New Roman" w:cs="Times New Roman"/>
          <w:color w:val="000000"/>
          <w:sz w:val="24"/>
          <w:szCs w:val="24"/>
          <w:lang w:eastAsia="fr-FR"/>
        </w:rPr>
      </w:pPr>
      <w:r w:rsidRPr="001B776C">
        <w:rPr>
          <w:rFonts w:ascii="Calibri" w:eastAsia="Times New Roman" w:hAnsi="Calibri" w:cs="Times New Roman"/>
          <w:color w:val="000000"/>
          <w:sz w:val="24"/>
          <w:szCs w:val="24"/>
          <w:lang w:eastAsia="fr-FR"/>
        </w:rPr>
        <w:lastRenderedPageBreak/>
        <w:t>Au bout d’un an, on se rend compte que le PGE a été largement utilisé. Seuls 2,8</w:t>
      </w:r>
      <w:r w:rsidR="005425C3">
        <w:rPr>
          <w:rFonts w:ascii="Calibri" w:eastAsia="Times New Roman" w:hAnsi="Calibri" w:cs="Times New Roman"/>
          <w:color w:val="000000"/>
          <w:sz w:val="24"/>
          <w:szCs w:val="24"/>
          <w:lang w:eastAsia="fr-FR"/>
        </w:rPr>
        <w:t xml:space="preserve"> </w:t>
      </w:r>
      <w:r w:rsidRPr="001B776C">
        <w:rPr>
          <w:rFonts w:ascii="Calibri" w:eastAsia="Times New Roman" w:hAnsi="Calibri" w:cs="Times New Roman"/>
          <w:color w:val="000000"/>
          <w:sz w:val="24"/>
          <w:szCs w:val="24"/>
          <w:lang w:eastAsia="fr-FR"/>
        </w:rPr>
        <w:t>% des demandes éligibles ont été rejetées. Ce qui semble témoigner d’une réelle coopération du milieu bancaire. De plus, tous les types de sociétés, sans distinction de taille, ont fait appel à un prêt garanti par l’Etat. </w:t>
      </w:r>
    </w:p>
    <w:p w14:paraId="11B08B61" w14:textId="33CA880F" w:rsidR="001B776C" w:rsidRDefault="00C87B1A" w:rsidP="001B776C">
      <w:pPr>
        <w:spacing w:before="240" w:after="240" w:line="240" w:lineRule="auto"/>
        <w:jc w:val="both"/>
        <w:rPr>
          <w:rFonts w:ascii="Calibri" w:eastAsia="Times New Roman" w:hAnsi="Calibri" w:cs="Times New Roman"/>
          <w:color w:val="000000"/>
          <w:sz w:val="24"/>
          <w:szCs w:val="24"/>
          <w:lang w:eastAsia="fr-FR"/>
        </w:rPr>
      </w:pPr>
      <w:r w:rsidRPr="001B776C">
        <w:rPr>
          <w:rFonts w:ascii="Calibri" w:hAnsi="Calibri"/>
          <w:noProof/>
          <w:sz w:val="24"/>
          <w:szCs w:val="24"/>
        </w:rPr>
        <mc:AlternateContent>
          <mc:Choice Requires="wps">
            <w:drawing>
              <wp:anchor distT="152400" distB="152400" distL="152400" distR="152400" simplePos="0" relativeHeight="251675648" behindDoc="0" locked="0" layoutInCell="1" allowOverlap="1" wp14:anchorId="4C2ADD30" wp14:editId="28AD1DE7">
                <wp:simplePos x="0" y="0"/>
                <wp:positionH relativeFrom="margin">
                  <wp:posOffset>-695276</wp:posOffset>
                </wp:positionH>
                <wp:positionV relativeFrom="page">
                  <wp:posOffset>2130571</wp:posOffset>
                </wp:positionV>
                <wp:extent cx="6565900" cy="1270000"/>
                <wp:effectExtent l="0" t="0" r="38100" b="25400"/>
                <wp:wrapTopAndBottom distT="152400" distB="152400"/>
                <wp:docPr id="9" name="officeArt object"/>
                <wp:cNvGraphicFramePr/>
                <a:graphic xmlns:a="http://schemas.openxmlformats.org/drawingml/2006/main">
                  <a:graphicData uri="http://schemas.microsoft.com/office/word/2010/wordprocessingShape">
                    <wps:wsp>
                      <wps:cNvSpPr/>
                      <wps:spPr>
                        <a:xfrm>
                          <a:off x="0" y="0"/>
                          <a:ext cx="6565900" cy="1270000"/>
                        </a:xfrm>
                        <a:prstGeom prst="roundRect">
                          <a:avLst>
                            <a:gd name="adj" fmla="val 15000"/>
                          </a:avLst>
                        </a:prstGeom>
                        <a:ln/>
                      </wps:spPr>
                      <wps:style>
                        <a:lnRef idx="1">
                          <a:schemeClr val="accent1"/>
                        </a:lnRef>
                        <a:fillRef idx="3">
                          <a:schemeClr val="accent1"/>
                        </a:fillRef>
                        <a:effectRef idx="2">
                          <a:schemeClr val="accent1"/>
                        </a:effectRef>
                        <a:fontRef idx="minor">
                          <a:schemeClr val="lt1"/>
                        </a:fontRef>
                      </wps:style>
                      <wps:txbx>
                        <w:txbxContent>
                          <w:p w14:paraId="77BCB55C" w14:textId="4994958A" w:rsidR="001B776C" w:rsidRDefault="001B776C" w:rsidP="001B776C">
                            <w:pPr>
                              <w:pStyle w:val="tiquette"/>
                              <w:ind w:left="283"/>
                            </w:pPr>
                            <w:r>
                              <w:rPr>
                                <w:sz w:val="52"/>
                                <w:szCs w:val="52"/>
                              </w:rPr>
                              <w:t>L’activité partielle</w:t>
                            </w:r>
                          </w:p>
                        </w:txbxContent>
                      </wps:txbx>
                      <wps:bodyPr wrap="square" lIns="50800" tIns="50800" rIns="50800" bIns="50800" numCol="1" anchor="ctr">
                        <a:noAutofit/>
                      </wps:bodyPr>
                    </wps:wsp>
                  </a:graphicData>
                </a:graphic>
              </wp:anchor>
            </w:drawing>
          </mc:Choice>
          <mc:Fallback>
            <w:pict>
              <v:roundrect w14:anchorId="4C2ADD30" id="_x0000_s1028" style="position:absolute;left:0;text-align:left;margin-left:-54.75pt;margin-top:167.75pt;width:517pt;height:100pt;z-index:251675648;visibility:visible;mso-wrap-style:square;mso-wrap-distance-left:12pt;mso-wrap-distance-top:12pt;mso-wrap-distance-right:12pt;mso-wrap-distance-bottom:12pt;mso-position-horizontal:absolute;mso-position-horizontal-relative:margin;mso-position-vertical:absolute;mso-position-vertical-relative:page;v-text-anchor:middle" arcsize="983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eTREwIAAIMEAAAOAAAAZHJzL2Uyb0RvYy54bWysVFFr2zAQfh/sPwi9L7ZTkrUhTiktG4Ox&#13;&#10;lXb7AYosxSqSTpOU2Pn3O8mOE7ZBYdQPss66++67705e3/ZGk4PwQYGtaTUrKRGWQ6PsrqY/f3z6&#13;&#10;cE1JiMw2TIMVNT2KQG8379+tO7cSc2hBN8ITBLFh1bmatjG6VVEE3grDwgycsHgowRsW0fS7ovGs&#13;&#10;Q3Sji3lZLosOfOM8cBECfn0YDukm40spePwuZRCR6Joit5hXn9dtWovNmq12nrlW8ZEG+w8WhimL&#13;&#10;SSeoBxYZ2Xv1F5RR3EMAGWccTAFSKi5yDVhNVf5RzXPLnMi1oDjBTTKFt4Pl3w6PnqimpjeUWGaw&#13;&#10;RQOpOx8JbF9QwKRR58IKXZ/dox+tgNtUcC+9SW+MIn3W9TjpKvpIOH5cLpaLmxLl53hWzT+W+CTU&#13;&#10;4hzufIifBRiSNjX1sLfNU0qesNnha4hZ3WbkyJoXSqTR2KsD06RanBFHZ8Q+YaZIbVO+VMZAPO/i&#13;&#10;UYvh8ElIFAGpVjlhHj9xrz1B9JoyzoWN1UhZW/ROYVJpPQVevR44+qdQkUdzCp6/HjxF5Mxg4xRs&#13;&#10;lAX/LwA9UZaD/0mBoe4kQey3fe7+/NTlLTRHnIgOr0RNw68984IS/cXizC3K69TEeGn4S2N7adi9&#13;&#10;uQcUr6KEWd4CXjoeB54W7vYRpIqnngxJR3o46Xk0xluZrtKlnb3O/47NbwAAAP//AwBQSwMEFAAG&#13;&#10;AAgAAAAhAHwf00/lAAAAEQEAAA8AAABkcnMvZG93bnJldi54bWxMT8FOwzAMvSPxD5GRuG3p2hWx&#13;&#10;rumEgCGBBBLruKdNaKslTmmyrvt7vBNcrGf7+fm9fDNZw0Y9+M6hgMU8AqaxdqrDRsC+3M7ugfkg&#13;&#10;UUnjUAs4aw+b4voql5lyJ/zU4y40jETQZ1JAG0Kfce7rVlvp567XSLtvN1gZqB0argZ5InFreBxF&#13;&#10;d9zKDulDK3v92Or6sDtaAWO5PP/E79Vb+bF/3r6YQ8K/XhMhbm+mpzWVhzWwoKfwdwGXDOQfCjJW&#13;&#10;uSMqz4yA2SJapcQVkCQpAaKs4iWBSkB6mfAi5/+TFL8AAAD//wMAUEsBAi0AFAAGAAgAAAAhALaD&#13;&#10;OJL+AAAA4QEAABMAAAAAAAAAAAAAAAAAAAAAAFtDb250ZW50X1R5cGVzXS54bWxQSwECLQAUAAYA&#13;&#10;CAAAACEAOP0h/9YAAACUAQAACwAAAAAAAAAAAAAAAAAvAQAAX3JlbHMvLnJlbHNQSwECLQAUAAYA&#13;&#10;CAAAACEA3T3k0RMCAACDBAAADgAAAAAAAAAAAAAAAAAuAgAAZHJzL2Uyb0RvYy54bWxQSwECLQAU&#13;&#10;AAYACAAAACEAfB/TT+UAAAARAQAADwAAAAAAAAAAAAAAAABtBAAAZHJzL2Rvd25yZXYueG1sUEsF&#13;&#10;BgAAAAAEAAQA8wAAAH8FAAAAAA==&#13;&#10;" strokecolor="#6e0808 [1924]">
                <v:fill r:id="rId9" o:title="" recolor="t" rotate="t" type="tile"/>
                <v:imagedata recolortarget="#a10c0c [2820]"/>
                <v:textbox inset="4pt,4pt,4pt,4pt">
                  <w:txbxContent>
                    <w:p w14:paraId="77BCB55C" w14:textId="4994958A" w:rsidR="001B776C" w:rsidRDefault="001B776C" w:rsidP="001B776C">
                      <w:pPr>
                        <w:pStyle w:val="tiquette"/>
                        <w:ind w:left="283"/>
                      </w:pPr>
                      <w:r>
                        <w:rPr>
                          <w:sz w:val="52"/>
                          <w:szCs w:val="52"/>
                        </w:rPr>
                        <w:t>L’activité partielle</w:t>
                      </w:r>
                    </w:p>
                  </w:txbxContent>
                </v:textbox>
                <w10:wrap type="topAndBottom" anchorx="margin" anchory="page"/>
              </v:roundrect>
            </w:pict>
          </mc:Fallback>
        </mc:AlternateContent>
      </w:r>
      <w:r w:rsidR="001B776C" w:rsidRPr="001B776C">
        <w:rPr>
          <w:rFonts w:ascii="Calibri" w:eastAsia="Times New Roman" w:hAnsi="Calibri" w:cs="Times New Roman"/>
          <w:color w:val="000000"/>
          <w:sz w:val="24"/>
          <w:szCs w:val="24"/>
          <w:lang w:eastAsia="fr-FR"/>
        </w:rPr>
        <w:t>De ces éléments, peut être déduit que les entreprises ont trouvé une solution de gestion de trésorerie en ces temps de crise dans le système du PGE.</w:t>
      </w:r>
      <w:r w:rsidR="001B776C">
        <w:rPr>
          <w:rFonts w:ascii="Calibri" w:eastAsia="Times New Roman" w:hAnsi="Calibri" w:cs="Times New Roman"/>
          <w:color w:val="000000"/>
          <w:sz w:val="24"/>
          <w:szCs w:val="24"/>
          <w:lang w:eastAsia="fr-FR"/>
        </w:rPr>
        <w:t xml:space="preserve"> </w:t>
      </w:r>
    </w:p>
    <w:p w14:paraId="4D9BB7A3" w14:textId="434CF28D" w:rsidR="001B776C" w:rsidRPr="001B776C" w:rsidRDefault="001B776C" w:rsidP="001B776C">
      <w:pPr>
        <w:spacing w:before="240" w:after="240" w:line="240" w:lineRule="auto"/>
        <w:jc w:val="both"/>
        <w:rPr>
          <w:rFonts w:ascii="Calibri" w:eastAsia="Times New Roman" w:hAnsi="Calibri" w:cs="Times New Roman"/>
          <w:color w:val="000000"/>
          <w:sz w:val="24"/>
          <w:szCs w:val="24"/>
          <w:lang w:eastAsia="fr-FR"/>
        </w:rPr>
      </w:pPr>
      <w:r w:rsidRPr="001B776C">
        <w:rPr>
          <w:rFonts w:ascii="Calibri" w:eastAsia="Times New Roman" w:hAnsi="Calibri" w:cs="Times New Roman"/>
          <w:color w:val="000000"/>
          <w:sz w:val="24"/>
          <w:szCs w:val="24"/>
          <w:lang w:eastAsia="fr-FR"/>
        </w:rPr>
        <w:t xml:space="preserve">En réponse à une crise sanitaire qui s’éternise et dont les conséquences sur l’économie persistent, le gouvernement a revu sa copie et </w:t>
      </w:r>
      <w:r w:rsidR="005425C3">
        <w:rPr>
          <w:rFonts w:ascii="Calibri" w:eastAsia="Times New Roman" w:hAnsi="Calibri" w:cs="Times New Roman"/>
          <w:color w:val="000000"/>
          <w:sz w:val="24"/>
          <w:szCs w:val="24"/>
          <w:lang w:eastAsia="fr-FR"/>
        </w:rPr>
        <w:t xml:space="preserve">a </w:t>
      </w:r>
      <w:r w:rsidRPr="001B776C">
        <w:rPr>
          <w:rFonts w:ascii="Calibri" w:eastAsia="Times New Roman" w:hAnsi="Calibri" w:cs="Times New Roman"/>
          <w:color w:val="000000"/>
          <w:sz w:val="24"/>
          <w:szCs w:val="24"/>
          <w:lang w:eastAsia="fr-FR"/>
        </w:rPr>
        <w:t xml:space="preserve">décidé de prolonger certains dispositifs d’activité partielle de façon à permettre aux entreprises de faire face </w:t>
      </w:r>
      <w:r w:rsidR="005425C3">
        <w:rPr>
          <w:rFonts w:ascii="Calibri" w:eastAsia="Times New Roman" w:hAnsi="Calibri" w:cs="Times New Roman"/>
          <w:color w:val="000000"/>
          <w:sz w:val="24"/>
          <w:szCs w:val="24"/>
          <w:lang w:eastAsia="fr-FR"/>
        </w:rPr>
        <w:t xml:space="preserve">à la crise </w:t>
      </w:r>
      <w:r w:rsidRPr="001B776C">
        <w:rPr>
          <w:rFonts w:ascii="Calibri" w:eastAsia="Times New Roman" w:hAnsi="Calibri" w:cs="Times New Roman"/>
          <w:color w:val="000000"/>
          <w:sz w:val="24"/>
          <w:szCs w:val="24"/>
          <w:lang w:eastAsia="fr-FR"/>
        </w:rPr>
        <w:t>en maintenant un certain niveau d’emploi</w:t>
      </w:r>
      <w:r>
        <w:rPr>
          <w:rFonts w:ascii="Calibri" w:eastAsia="Times New Roman" w:hAnsi="Calibri" w:cs="Times New Roman"/>
          <w:color w:val="000000"/>
          <w:sz w:val="24"/>
          <w:szCs w:val="24"/>
          <w:lang w:eastAsia="fr-FR"/>
        </w:rPr>
        <w:t xml:space="preserve"> : </w:t>
      </w:r>
    </w:p>
    <w:p w14:paraId="69E0CD71" w14:textId="55D0F18D" w:rsidR="001B776C" w:rsidRPr="00787A88" w:rsidRDefault="001B776C" w:rsidP="00787A88">
      <w:pPr>
        <w:pStyle w:val="Paragraphedeliste"/>
        <w:numPr>
          <w:ilvl w:val="0"/>
          <w:numId w:val="26"/>
        </w:numPr>
        <w:spacing w:after="0" w:line="240" w:lineRule="auto"/>
        <w:jc w:val="both"/>
        <w:textAlignment w:val="baseline"/>
        <w:rPr>
          <w:rFonts w:ascii="Calibri" w:eastAsia="Times New Roman" w:hAnsi="Calibri" w:cs="Times New Roman"/>
          <w:color w:val="000000"/>
          <w:sz w:val="24"/>
          <w:szCs w:val="24"/>
          <w:lang w:eastAsia="fr-FR"/>
        </w:rPr>
      </w:pPr>
      <w:r w:rsidRPr="00787A88">
        <w:rPr>
          <w:rFonts w:ascii="Calibri" w:eastAsia="Times New Roman" w:hAnsi="Calibri" w:cs="Times New Roman"/>
          <w:color w:val="000000"/>
          <w:sz w:val="24"/>
          <w:szCs w:val="24"/>
          <w:lang w:eastAsia="fr-FR"/>
        </w:rPr>
        <w:t>Les indemnités légales versées dans le cadre de l’activité partielle sont pérennisées, et le régime social mis en place depuis 2020 permettant d’avoir des indemnités complémentaires est prolongé pour l’année 2021</w:t>
      </w:r>
      <w:r w:rsidR="00C87B1A">
        <w:rPr>
          <w:rFonts w:ascii="Calibri" w:eastAsia="Times New Roman" w:hAnsi="Calibri" w:cs="Times New Roman"/>
          <w:color w:val="000000"/>
          <w:sz w:val="24"/>
          <w:szCs w:val="24"/>
          <w:lang w:eastAsia="fr-FR"/>
        </w:rPr>
        <w:t xml:space="preserve"> ; </w:t>
      </w:r>
    </w:p>
    <w:p w14:paraId="394BC5E9" w14:textId="7278ACEE" w:rsidR="00592667" w:rsidRPr="00787A88" w:rsidRDefault="001B776C" w:rsidP="00787A88">
      <w:pPr>
        <w:pStyle w:val="Paragraphedeliste"/>
        <w:numPr>
          <w:ilvl w:val="0"/>
          <w:numId w:val="26"/>
        </w:numPr>
        <w:spacing w:after="0"/>
        <w:jc w:val="both"/>
        <w:textAlignment w:val="baseline"/>
        <w:rPr>
          <w:rFonts w:ascii="Calibri" w:eastAsia="Times New Roman" w:hAnsi="Calibri" w:cs="Times New Roman"/>
          <w:color w:val="000000"/>
          <w:sz w:val="24"/>
          <w:szCs w:val="24"/>
          <w:lang w:eastAsia="fr-FR"/>
        </w:rPr>
      </w:pPr>
      <w:r w:rsidRPr="00787A88">
        <w:rPr>
          <w:rFonts w:ascii="Calibri" w:eastAsia="Times New Roman" w:hAnsi="Calibri" w:cs="Times New Roman"/>
          <w:color w:val="000000"/>
          <w:sz w:val="24"/>
          <w:szCs w:val="24"/>
          <w:lang w:eastAsia="fr-FR"/>
        </w:rPr>
        <w:t>Contrairement aux dispositions initialement prévues, la réduction des indemnités d’activité partielle versées aux salariés travaillant dans des secteurs en difficulté, a été différée au 1</w:t>
      </w:r>
      <w:r w:rsidRPr="00787A88">
        <w:rPr>
          <w:rFonts w:ascii="Calibri" w:eastAsia="Times New Roman" w:hAnsi="Calibri" w:cs="Times New Roman"/>
          <w:color w:val="000000"/>
          <w:sz w:val="14"/>
          <w:szCs w:val="14"/>
          <w:vertAlign w:val="superscript"/>
          <w:lang w:eastAsia="fr-FR"/>
        </w:rPr>
        <w:t>er</w:t>
      </w:r>
      <w:r w:rsidRPr="00787A88">
        <w:rPr>
          <w:rFonts w:ascii="Calibri" w:eastAsia="Times New Roman" w:hAnsi="Calibri" w:cs="Times New Roman"/>
          <w:color w:val="000000"/>
          <w:sz w:val="24"/>
          <w:szCs w:val="24"/>
          <w:lang w:eastAsia="fr-FR"/>
        </w:rPr>
        <w:t xml:space="preserve"> mai 2021 et </w:t>
      </w:r>
      <w:r w:rsidR="00387CC0" w:rsidRPr="00787A88">
        <w:rPr>
          <w:rFonts w:ascii="Calibri" w:eastAsia="Times New Roman" w:hAnsi="Calibri" w:cs="Times New Roman"/>
          <w:color w:val="000000"/>
          <w:sz w:val="24"/>
          <w:szCs w:val="24"/>
          <w:lang w:eastAsia="fr-FR"/>
        </w:rPr>
        <w:t>puis ramener</w:t>
      </w:r>
      <w:r w:rsidRPr="00787A88">
        <w:rPr>
          <w:rFonts w:ascii="Calibri" w:eastAsia="Times New Roman" w:hAnsi="Calibri" w:cs="Times New Roman"/>
          <w:color w:val="000000"/>
          <w:sz w:val="24"/>
          <w:szCs w:val="24"/>
          <w:lang w:eastAsia="fr-FR"/>
        </w:rPr>
        <w:t xml:space="preserve"> au 1</w:t>
      </w:r>
      <w:r w:rsidRPr="00787A88">
        <w:rPr>
          <w:rFonts w:ascii="Calibri" w:eastAsia="Times New Roman" w:hAnsi="Calibri" w:cs="Times New Roman"/>
          <w:color w:val="000000"/>
          <w:sz w:val="14"/>
          <w:szCs w:val="14"/>
          <w:vertAlign w:val="superscript"/>
          <w:lang w:eastAsia="fr-FR"/>
        </w:rPr>
        <w:t>er</w:t>
      </w:r>
      <w:r w:rsidRPr="00787A88">
        <w:rPr>
          <w:rFonts w:ascii="Calibri" w:eastAsia="Times New Roman" w:hAnsi="Calibri" w:cs="Times New Roman"/>
          <w:color w:val="000000"/>
          <w:sz w:val="24"/>
          <w:szCs w:val="24"/>
          <w:lang w:eastAsia="fr-FR"/>
        </w:rPr>
        <w:t xml:space="preserve"> avril 2021</w:t>
      </w:r>
      <w:r w:rsidR="00387CC0" w:rsidRPr="00787A88">
        <w:rPr>
          <w:rFonts w:ascii="Calibri" w:eastAsia="Times New Roman" w:hAnsi="Calibri" w:cs="Times New Roman"/>
          <w:color w:val="000000"/>
          <w:sz w:val="24"/>
          <w:szCs w:val="24"/>
          <w:lang w:eastAsia="fr-FR"/>
        </w:rPr>
        <w:t xml:space="preserve"> par le décret du 1 4 avril 2021</w:t>
      </w:r>
      <w:r w:rsidR="00C87B1A">
        <w:rPr>
          <w:rFonts w:ascii="Calibri" w:eastAsia="Times New Roman" w:hAnsi="Calibri" w:cs="Times New Roman"/>
          <w:color w:val="000000"/>
          <w:sz w:val="24"/>
          <w:szCs w:val="24"/>
          <w:lang w:eastAsia="fr-FR"/>
        </w:rPr>
        <w:t xml:space="preserve">. </w:t>
      </w:r>
    </w:p>
    <w:p w14:paraId="79509584" w14:textId="18C219B4" w:rsidR="004A3ADF" w:rsidRPr="004A3ADF" w:rsidRDefault="004A3ADF" w:rsidP="004A3ADF">
      <w:pPr>
        <w:spacing w:after="0"/>
        <w:jc w:val="both"/>
        <w:textAlignment w:val="baseline"/>
        <w:rPr>
          <w:rFonts w:ascii="Calibri" w:eastAsia="Times New Roman" w:hAnsi="Calibri" w:cs="Times New Roman"/>
          <w:color w:val="000000"/>
          <w:sz w:val="24"/>
          <w:szCs w:val="24"/>
          <w:lang w:eastAsia="fr-FR"/>
        </w:rPr>
      </w:pPr>
    </w:p>
    <w:p w14:paraId="7452FA7D" w14:textId="01EDEA46" w:rsidR="004A3ADF" w:rsidRPr="00592667" w:rsidRDefault="004A3ADF" w:rsidP="004A3ADF">
      <w:pPr>
        <w:spacing w:after="0"/>
        <w:jc w:val="both"/>
        <w:textAlignment w:val="baseline"/>
        <w:rPr>
          <w:rFonts w:ascii="Calibri" w:hAnsi="Calibri"/>
          <w:color w:val="000000"/>
        </w:rPr>
      </w:pPr>
      <w:r w:rsidRPr="00592667">
        <w:rPr>
          <w:rFonts w:ascii="Calibri" w:eastAsia="Times New Roman" w:hAnsi="Calibri" w:cs="Times New Roman"/>
          <w:color w:val="000000"/>
          <w:sz w:val="24"/>
          <w:szCs w:val="24"/>
          <w:lang w:eastAsia="fr-FR"/>
        </w:rPr>
        <w:t xml:space="preserve">Du </w:t>
      </w:r>
      <w:r w:rsidRPr="00592667">
        <w:rPr>
          <w:rFonts w:ascii="Calibri" w:hAnsi="Calibri"/>
          <w:color w:val="000000"/>
        </w:rPr>
        <w:t>1</w:t>
      </w:r>
      <w:r w:rsidRPr="00592667">
        <w:rPr>
          <w:rFonts w:ascii="Calibri" w:hAnsi="Calibri"/>
          <w:color w:val="000000"/>
          <w:vertAlign w:val="superscript"/>
        </w:rPr>
        <w:t>er</w:t>
      </w:r>
      <w:r w:rsidRPr="00592667">
        <w:rPr>
          <w:rFonts w:ascii="Calibri" w:hAnsi="Calibri"/>
          <w:color w:val="000000"/>
        </w:rPr>
        <w:t> janvier 2021 au 30 avril 2021, le taux horaire de l’indemnité est de 70% du salaire brut antérieur du salarié, dans la limite de 70% de 4,5 SMIC.</w:t>
      </w:r>
    </w:p>
    <w:p w14:paraId="2E6084C6" w14:textId="1F4137DA" w:rsidR="004A3ADF" w:rsidRDefault="00C87B1A" w:rsidP="004A3ADF">
      <w:pPr>
        <w:spacing w:after="0" w:line="240" w:lineRule="auto"/>
        <w:jc w:val="both"/>
        <w:textAlignment w:val="baseline"/>
        <w:rPr>
          <w:rFonts w:ascii="Calibri" w:eastAsia="Times New Roman" w:hAnsi="Calibri" w:cs="Times New Roman"/>
          <w:color w:val="000000"/>
          <w:sz w:val="24"/>
          <w:szCs w:val="24"/>
          <w:lang w:eastAsia="fr-FR"/>
        </w:rPr>
      </w:pPr>
      <w:r w:rsidRPr="001B776C">
        <w:rPr>
          <w:noProof/>
        </w:rPr>
        <mc:AlternateContent>
          <mc:Choice Requires="wps">
            <w:drawing>
              <wp:anchor distT="152400" distB="152400" distL="152400" distR="152400" simplePos="0" relativeHeight="251664896" behindDoc="0" locked="0" layoutInCell="1" allowOverlap="1" wp14:anchorId="305315E0" wp14:editId="2C4E1415">
                <wp:simplePos x="0" y="0"/>
                <wp:positionH relativeFrom="margin">
                  <wp:posOffset>-595630</wp:posOffset>
                </wp:positionH>
                <wp:positionV relativeFrom="page">
                  <wp:posOffset>6963117</wp:posOffset>
                </wp:positionV>
                <wp:extent cx="6565900" cy="1270000"/>
                <wp:effectExtent l="0" t="0" r="38100" b="25400"/>
                <wp:wrapTopAndBottom distT="152400" distB="152400"/>
                <wp:docPr id="10" name="officeArt object"/>
                <wp:cNvGraphicFramePr/>
                <a:graphic xmlns:a="http://schemas.openxmlformats.org/drawingml/2006/main">
                  <a:graphicData uri="http://schemas.microsoft.com/office/word/2010/wordprocessingShape">
                    <wps:wsp>
                      <wps:cNvSpPr/>
                      <wps:spPr>
                        <a:xfrm>
                          <a:off x="0" y="0"/>
                          <a:ext cx="6565900" cy="1270000"/>
                        </a:xfrm>
                        <a:prstGeom prst="roundRect">
                          <a:avLst>
                            <a:gd name="adj" fmla="val 15000"/>
                          </a:avLst>
                        </a:prstGeom>
                        <a:ln/>
                      </wps:spPr>
                      <wps:style>
                        <a:lnRef idx="1">
                          <a:schemeClr val="accent1"/>
                        </a:lnRef>
                        <a:fillRef idx="3">
                          <a:schemeClr val="accent1"/>
                        </a:fillRef>
                        <a:effectRef idx="2">
                          <a:schemeClr val="accent1"/>
                        </a:effectRef>
                        <a:fontRef idx="minor">
                          <a:schemeClr val="lt1"/>
                        </a:fontRef>
                      </wps:style>
                      <wps:txbx>
                        <w:txbxContent>
                          <w:p w14:paraId="00293471" w14:textId="0A63C2DA" w:rsidR="001B776C" w:rsidRDefault="001B776C" w:rsidP="001B776C">
                            <w:pPr>
                              <w:pStyle w:val="tiquette"/>
                              <w:ind w:left="283"/>
                            </w:pPr>
                            <w:r>
                              <w:rPr>
                                <w:sz w:val="52"/>
                                <w:szCs w:val="52"/>
                              </w:rPr>
                              <w:t>Le report des contributions sociales et fiscales</w:t>
                            </w:r>
                          </w:p>
                        </w:txbxContent>
                      </wps:txbx>
                      <wps:bodyPr wrap="square" lIns="50800" tIns="50800" rIns="50800" bIns="50800" numCol="1" anchor="ctr">
                        <a:noAutofit/>
                      </wps:bodyPr>
                    </wps:wsp>
                  </a:graphicData>
                </a:graphic>
              </wp:anchor>
            </w:drawing>
          </mc:Choice>
          <mc:Fallback>
            <w:pict>
              <v:roundrect w14:anchorId="305315E0" id="_x0000_s1029" style="position:absolute;left:0;text-align:left;margin-left:-46.9pt;margin-top:548.3pt;width:517pt;height:100pt;z-index:251664896;visibility:visible;mso-wrap-style:square;mso-wrap-distance-left:12pt;mso-wrap-distance-top:12pt;mso-wrap-distance-right:12pt;mso-wrap-distance-bottom:12pt;mso-position-horizontal:absolute;mso-position-horizontal-relative:margin;mso-position-vertical:absolute;mso-position-vertical-relative:page;v-text-anchor:middle" arcsize="983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6X2rEwIAAIQEAAAOAAAAZHJzL2Uyb0RvYy54bWysVFFr2zAQfh/sPwi9L7ZTknUhTiktG4Ox&#13;&#10;lXb9AYosxSqSTpOU2Pn3O8mOE7ZCYcwPss6677u7705e3/RGk4PwQYGtaTUrKRGWQ6PsrqbPPz9/&#13;&#10;uKYkRGYbpsGKmh5FoDeb9+/WnVuJObSgG+EJktiw6lxN2xjdqigCb4VhYQZOWDyU4A2LaPpd0XjW&#13;&#10;IbvRxbwsl0UHvnEeuAgBv94Ph3ST+aUUPP6QMohIdE0xt5hXn9dtWovNmq12nrlW8TEN9g9ZGKYs&#13;&#10;Bp2o7llkZO/VX1RGcQ8BZJxxMAVIqbjINWA1VflHNU8tcyLXguIEN8kU/h8t/3548EQ12DuUxzKD&#13;&#10;PRqyuvWRwPYFFUwidS6s0PfJPfjRCrhNFffSm/RGFOmzsMdJWNFHwvHjcrFcfCoxAMezav6xxCex&#13;&#10;Fme48yF+EWBI2tTUw942jyl44maHbyFmeZsxR9a8UCKNxmYdmCbV4sw4OiP3iTMhtU3xUhlD4nkX&#13;&#10;j1oMh49CogqYapUD5vkTd9oTZK8p41zYWI0pa4veCSaV1hPw6m3g6J+gIs/mBJ6/DZ4QOTLYOIGN&#13;&#10;suBfI9BTynLwPykw1J0kiP22z+2/OnV5C80RR6LDO1HT8GvPvKBEf7U4dIvyOjUxXhr+0theGnZv&#13;&#10;7gDFqyhhlreAt47HIU8Lt/sIUsVTT4agY3o46nk0xmuZ7tKlnb3OP4/NbwAAAP//AwBQSwMEFAAG&#13;&#10;AAgAAAAhAH8gHK/lAAAAEgEAAA8AAABkcnMvZG93bnJldi54bWxMT01PwzAMvSPxHyIjcdsS2qmi&#13;&#10;XdMJAUMCCSTWcU8b01ZrktJkXffv8U5wseT37PeRb2bTswlH3zkr4W4pgKGtne5sI2Ffbhf3wHxQ&#13;&#10;VqveWZRwRg+b4voqV5l2J/uJ0y40jESsz5SENoQh49zXLRrll25AS9y3G40KtI4N16M6kbjpeSRE&#13;&#10;wo3qLDm0asDHFuvD7mgkTOXq/BO9V2/lx/55+9IfYv71Gkt5ezM/rWk8rIEFnMPfB1w6UH4oKFjl&#13;&#10;jlZ71ktYpDHlD0SINEmA0Um6EhGwiqDoAvEi5/+rFL8AAAD//wMAUEsBAi0AFAAGAAgAAAAhALaD&#13;&#10;OJL+AAAA4QEAABMAAAAAAAAAAAAAAAAAAAAAAFtDb250ZW50X1R5cGVzXS54bWxQSwECLQAUAAYA&#13;&#10;CAAAACEAOP0h/9YAAACUAQAACwAAAAAAAAAAAAAAAAAvAQAAX3JlbHMvLnJlbHNQSwECLQAUAAYA&#13;&#10;CAAAACEAG+l9qxMCAACEBAAADgAAAAAAAAAAAAAAAAAuAgAAZHJzL2Uyb0RvYy54bWxQSwECLQAU&#13;&#10;AAYACAAAACEAfyAcr+UAAAASAQAADwAAAAAAAAAAAAAAAABtBAAAZHJzL2Rvd25yZXYueG1sUEsF&#13;&#10;BgAAAAAEAAQA8wAAAH8FAAAAAA==&#13;&#10;" strokecolor="#6e0808 [1924]">
                <v:fill r:id="rId9" o:title="" recolor="t" rotate="t" type="tile"/>
                <v:imagedata recolortarget="#a10c0c [2820]"/>
                <v:textbox inset="4pt,4pt,4pt,4pt">
                  <w:txbxContent>
                    <w:p w14:paraId="00293471" w14:textId="0A63C2DA" w:rsidR="001B776C" w:rsidRDefault="001B776C" w:rsidP="001B776C">
                      <w:pPr>
                        <w:pStyle w:val="tiquette"/>
                        <w:ind w:left="283"/>
                      </w:pPr>
                      <w:r>
                        <w:rPr>
                          <w:sz w:val="52"/>
                          <w:szCs w:val="52"/>
                        </w:rPr>
                        <w:t>Le report des contributions sociales et fiscales</w:t>
                      </w:r>
                    </w:p>
                  </w:txbxContent>
                </v:textbox>
                <w10:wrap type="topAndBottom" anchorx="margin" anchory="page"/>
              </v:roundrect>
            </w:pict>
          </mc:Fallback>
        </mc:AlternateContent>
      </w:r>
      <w:r w:rsidR="004A3ADF">
        <w:rPr>
          <w:rFonts w:ascii="Calibri" w:eastAsia="Times New Roman" w:hAnsi="Calibri" w:cs="Times New Roman"/>
          <w:color w:val="000000"/>
          <w:sz w:val="24"/>
          <w:szCs w:val="24"/>
          <w:lang w:eastAsia="fr-FR"/>
        </w:rPr>
        <w:t>A co</w:t>
      </w:r>
      <w:r w:rsidR="004A3ADF" w:rsidRPr="00592667">
        <w:rPr>
          <w:rFonts w:ascii="Calibri" w:eastAsia="Times New Roman" w:hAnsi="Calibri" w:cs="Times New Roman"/>
          <w:color w:val="000000"/>
          <w:sz w:val="24"/>
          <w:szCs w:val="24"/>
          <w:lang w:eastAsia="fr-FR"/>
        </w:rPr>
        <w:t>mpter du 1</w:t>
      </w:r>
      <w:r w:rsidR="004A3ADF" w:rsidRPr="00592667">
        <w:rPr>
          <w:rFonts w:ascii="Calibri" w:eastAsia="Times New Roman" w:hAnsi="Calibri" w:cs="Times New Roman"/>
          <w:color w:val="000000"/>
          <w:sz w:val="24"/>
          <w:szCs w:val="24"/>
          <w:vertAlign w:val="superscript"/>
          <w:lang w:eastAsia="fr-FR"/>
        </w:rPr>
        <w:t>er</w:t>
      </w:r>
      <w:r w:rsidR="004A3ADF" w:rsidRPr="00592667">
        <w:rPr>
          <w:rFonts w:ascii="Calibri" w:eastAsia="Times New Roman" w:hAnsi="Calibri" w:cs="Times New Roman"/>
          <w:color w:val="000000"/>
          <w:sz w:val="24"/>
          <w:szCs w:val="24"/>
          <w:lang w:eastAsia="fr-FR"/>
        </w:rPr>
        <w:t> mai 2021, les salariés placés en position d’activité partielle per</w:t>
      </w:r>
      <w:r w:rsidR="004A3ADF">
        <w:rPr>
          <w:rFonts w:ascii="Calibri" w:eastAsia="Times New Roman" w:hAnsi="Calibri" w:cs="Times New Roman"/>
          <w:color w:val="000000"/>
          <w:sz w:val="24"/>
          <w:szCs w:val="24"/>
          <w:lang w:eastAsia="fr-FR"/>
        </w:rPr>
        <w:t>ce</w:t>
      </w:r>
      <w:r w:rsidR="004A3ADF" w:rsidRPr="00592667">
        <w:rPr>
          <w:rFonts w:ascii="Calibri" w:eastAsia="Times New Roman" w:hAnsi="Calibri" w:cs="Times New Roman"/>
          <w:color w:val="000000"/>
          <w:sz w:val="24"/>
          <w:szCs w:val="24"/>
          <w:lang w:eastAsia="fr-FR"/>
        </w:rPr>
        <w:t>v</w:t>
      </w:r>
      <w:r w:rsidR="004A3ADF">
        <w:rPr>
          <w:rFonts w:ascii="Calibri" w:eastAsia="Times New Roman" w:hAnsi="Calibri" w:cs="Times New Roman"/>
          <w:color w:val="000000"/>
          <w:sz w:val="24"/>
          <w:szCs w:val="24"/>
          <w:lang w:eastAsia="fr-FR"/>
        </w:rPr>
        <w:t>ro</w:t>
      </w:r>
      <w:r w:rsidR="004A3ADF" w:rsidRPr="00592667">
        <w:rPr>
          <w:rFonts w:ascii="Calibri" w:eastAsia="Times New Roman" w:hAnsi="Calibri" w:cs="Times New Roman"/>
          <w:color w:val="000000"/>
          <w:sz w:val="24"/>
          <w:szCs w:val="24"/>
          <w:lang w:eastAsia="fr-FR"/>
        </w:rPr>
        <w:t xml:space="preserve">nt une indemnité à hauteur de 60 % minimum de leur rémunération antérieure brute, dans la limite </w:t>
      </w:r>
      <w:r w:rsidR="004A3ADF">
        <w:rPr>
          <w:rFonts w:ascii="Calibri" w:eastAsia="Times New Roman" w:hAnsi="Calibri" w:cs="Times New Roman"/>
          <w:color w:val="000000"/>
          <w:sz w:val="24"/>
          <w:szCs w:val="24"/>
          <w:lang w:eastAsia="fr-FR"/>
        </w:rPr>
        <w:t xml:space="preserve">toujours dans la limite de </w:t>
      </w:r>
      <w:r w:rsidR="004A3ADF" w:rsidRPr="00592667">
        <w:rPr>
          <w:rFonts w:ascii="Calibri" w:eastAsia="Times New Roman" w:hAnsi="Calibri" w:cs="Times New Roman"/>
          <w:color w:val="000000"/>
          <w:sz w:val="24"/>
          <w:szCs w:val="24"/>
          <w:lang w:eastAsia="fr-FR"/>
        </w:rPr>
        <w:t>4,5 SMIC.</w:t>
      </w:r>
    </w:p>
    <w:p w14:paraId="2090E885" w14:textId="77777777" w:rsidR="004A3ADF" w:rsidRDefault="004A3ADF" w:rsidP="001B776C">
      <w:pPr>
        <w:spacing w:after="0" w:line="240" w:lineRule="auto"/>
        <w:jc w:val="both"/>
        <w:rPr>
          <w:rFonts w:ascii="Calibri" w:eastAsia="Times New Roman" w:hAnsi="Calibri" w:cs="Times New Roman"/>
          <w:color w:val="000000"/>
          <w:sz w:val="24"/>
          <w:szCs w:val="24"/>
          <w:lang w:eastAsia="fr-FR"/>
        </w:rPr>
      </w:pPr>
    </w:p>
    <w:p w14:paraId="6AB1EB88" w14:textId="7D0E16E2" w:rsidR="001B776C" w:rsidRPr="001B776C" w:rsidRDefault="001B776C" w:rsidP="001B776C">
      <w:pPr>
        <w:spacing w:after="0" w:line="240" w:lineRule="auto"/>
        <w:jc w:val="both"/>
        <w:rPr>
          <w:rFonts w:ascii="Calibri" w:eastAsia="Times New Roman" w:hAnsi="Calibri" w:cs="Times New Roman"/>
          <w:color w:val="000000"/>
          <w:sz w:val="24"/>
          <w:szCs w:val="24"/>
          <w:lang w:eastAsia="fr-FR"/>
        </w:rPr>
      </w:pPr>
      <w:r w:rsidRPr="001B776C">
        <w:rPr>
          <w:rFonts w:ascii="Calibri" w:eastAsia="Times New Roman" w:hAnsi="Calibri" w:cs="Times New Roman"/>
          <w:color w:val="000000"/>
          <w:sz w:val="24"/>
          <w:szCs w:val="24"/>
          <w:lang w:eastAsia="fr-FR"/>
        </w:rPr>
        <w:t xml:space="preserve">Les mesures exceptionnelles déclenchées pour accompagner la trésorerie des entreprises et des travailleurs indépendants sont reconduites en mars 2021 </w:t>
      </w:r>
      <w:r w:rsidR="005425C3">
        <w:rPr>
          <w:rFonts w:ascii="Calibri" w:eastAsia="Times New Roman" w:hAnsi="Calibri" w:cs="Times New Roman"/>
          <w:color w:val="000000"/>
          <w:sz w:val="24"/>
          <w:szCs w:val="24"/>
          <w:lang w:eastAsia="fr-FR"/>
        </w:rPr>
        <w:t xml:space="preserve">qui </w:t>
      </w:r>
      <w:r w:rsidRPr="001B776C">
        <w:rPr>
          <w:rFonts w:ascii="Calibri" w:eastAsia="Times New Roman" w:hAnsi="Calibri" w:cs="Times New Roman"/>
          <w:color w:val="000000"/>
          <w:sz w:val="24"/>
          <w:szCs w:val="24"/>
          <w:lang w:eastAsia="fr-FR"/>
        </w:rPr>
        <w:t>peuvent ainsi reporter leurs échéances sociales : </w:t>
      </w:r>
    </w:p>
    <w:p w14:paraId="46A5C029" w14:textId="77777777" w:rsidR="001B776C" w:rsidRPr="00787A88" w:rsidRDefault="001B776C" w:rsidP="00787A88">
      <w:pPr>
        <w:pStyle w:val="Paragraphedeliste"/>
        <w:numPr>
          <w:ilvl w:val="0"/>
          <w:numId w:val="22"/>
        </w:numPr>
        <w:spacing w:after="0" w:line="240" w:lineRule="auto"/>
        <w:jc w:val="both"/>
        <w:textAlignment w:val="baseline"/>
        <w:rPr>
          <w:rFonts w:ascii="Calibri" w:eastAsia="Times New Roman" w:hAnsi="Calibri" w:cs="Times New Roman"/>
          <w:color w:val="000000"/>
          <w:sz w:val="24"/>
          <w:szCs w:val="24"/>
          <w:lang w:eastAsia="fr-FR"/>
        </w:rPr>
      </w:pPr>
      <w:r w:rsidRPr="00787A88">
        <w:rPr>
          <w:rFonts w:ascii="Calibri" w:eastAsia="Times New Roman" w:hAnsi="Calibri" w:cs="Times New Roman"/>
          <w:color w:val="000000"/>
          <w:sz w:val="24"/>
          <w:szCs w:val="24"/>
          <w:lang w:eastAsia="fr-FR"/>
        </w:rPr>
        <w:t>Les employeurs conservent la possibilité de reporter tout ou partie du paiement de leurs cotisations salariales et patronales pour les échéances des 5 et 15 mars 2021 ; </w:t>
      </w:r>
    </w:p>
    <w:p w14:paraId="5FC9B31E" w14:textId="77777777" w:rsidR="001B776C" w:rsidRPr="00787A88" w:rsidRDefault="001B776C" w:rsidP="00787A88">
      <w:pPr>
        <w:pStyle w:val="Paragraphedeliste"/>
        <w:numPr>
          <w:ilvl w:val="0"/>
          <w:numId w:val="22"/>
        </w:numPr>
        <w:spacing w:after="0" w:line="240" w:lineRule="auto"/>
        <w:jc w:val="both"/>
        <w:textAlignment w:val="baseline"/>
        <w:rPr>
          <w:rFonts w:ascii="Calibri" w:eastAsia="Times New Roman" w:hAnsi="Calibri" w:cs="Times New Roman"/>
          <w:color w:val="000000"/>
          <w:sz w:val="24"/>
          <w:szCs w:val="24"/>
          <w:lang w:eastAsia="fr-FR"/>
        </w:rPr>
      </w:pPr>
      <w:r w:rsidRPr="00787A88">
        <w:rPr>
          <w:rFonts w:ascii="Calibri" w:eastAsia="Times New Roman" w:hAnsi="Calibri" w:cs="Times New Roman"/>
          <w:color w:val="000000"/>
          <w:sz w:val="24"/>
          <w:szCs w:val="24"/>
          <w:lang w:eastAsia="fr-FR"/>
        </w:rPr>
        <w:t xml:space="preserve">Pour les travailleurs indépendants, le prélèvement de l’échéance du 5 ou du 20 mars due par les travailleurs indépendants au titre de leurs cotisations sociales personnelles sera effectué dans les conditions habituelles. Mais, par exception, concernant les travailleurs indépendants relevant des </w:t>
      </w:r>
      <w:r w:rsidRPr="00787A88">
        <w:rPr>
          <w:rFonts w:ascii="Calibri" w:eastAsia="Times New Roman" w:hAnsi="Calibri" w:cs="Times New Roman"/>
          <w:color w:val="000000"/>
          <w:sz w:val="24"/>
          <w:szCs w:val="24"/>
          <w:lang w:eastAsia="fr-FR"/>
        </w:rPr>
        <w:lastRenderedPageBreak/>
        <w:t>secteurs les plus touchés par la crise, l’Urssaf reconduit les dispositifs exceptionnels d’accompagnement au mois de mars en suspendant automatiquement le prélèvement du 5 ou 20 mars 2021. Les travailleurs indépendants qui ne relèvent pas de ces secteurs mais rencontrant des difficultés peuvent, quant à eux, ajuster leur échéancier (ré-estimation du revenu à la baisse ou demande d’un délai de paiement à l’Urssaf). </w:t>
      </w:r>
    </w:p>
    <w:p w14:paraId="6F2B136F" w14:textId="77777777" w:rsidR="001B776C" w:rsidRDefault="001B776C" w:rsidP="001B776C">
      <w:pPr>
        <w:spacing w:after="0" w:line="240" w:lineRule="auto"/>
        <w:jc w:val="both"/>
        <w:rPr>
          <w:rFonts w:ascii="Calibri" w:eastAsia="Times New Roman" w:hAnsi="Calibri" w:cs="Times New Roman"/>
          <w:color w:val="000000"/>
          <w:sz w:val="24"/>
          <w:szCs w:val="24"/>
          <w:lang w:eastAsia="fr-FR"/>
        </w:rPr>
      </w:pPr>
    </w:p>
    <w:p w14:paraId="57E97803" w14:textId="39E70802" w:rsidR="001B776C" w:rsidRPr="001B776C" w:rsidRDefault="001B776C" w:rsidP="001B776C">
      <w:pPr>
        <w:spacing w:after="0" w:line="240" w:lineRule="auto"/>
        <w:jc w:val="both"/>
        <w:rPr>
          <w:rFonts w:ascii="Times New Roman" w:eastAsia="Times New Roman" w:hAnsi="Times New Roman" w:cs="Times New Roman"/>
          <w:color w:val="000000"/>
          <w:sz w:val="24"/>
          <w:szCs w:val="24"/>
          <w:lang w:eastAsia="fr-FR"/>
        </w:rPr>
      </w:pPr>
      <w:r w:rsidRPr="001B776C">
        <w:rPr>
          <w:rFonts w:ascii="Calibri" w:eastAsia="Times New Roman" w:hAnsi="Calibri" w:cs="Times New Roman"/>
          <w:color w:val="000000"/>
          <w:sz w:val="24"/>
          <w:szCs w:val="24"/>
          <w:lang w:eastAsia="fr-FR"/>
        </w:rPr>
        <w:t>Pour bénéficier de ce dispositif, l’entreprise doit exercer son activité dans un secteur impacté par la crise, être éligible aux exonérations de cotisations sociales et remplir un formulaire de demande préalable (voir site de l’Urssaf). </w:t>
      </w:r>
    </w:p>
    <w:p w14:paraId="32ADFD6E" w14:textId="77777777" w:rsidR="001B776C" w:rsidRPr="001B776C" w:rsidRDefault="001B776C" w:rsidP="001B776C">
      <w:pPr>
        <w:spacing w:after="0" w:line="240" w:lineRule="auto"/>
        <w:jc w:val="both"/>
        <w:rPr>
          <w:rFonts w:ascii="Times New Roman" w:eastAsia="Times New Roman" w:hAnsi="Times New Roman" w:cs="Times New Roman"/>
          <w:color w:val="000000"/>
          <w:sz w:val="24"/>
          <w:szCs w:val="24"/>
          <w:lang w:eastAsia="fr-FR"/>
        </w:rPr>
      </w:pPr>
      <w:r w:rsidRPr="001B776C">
        <w:rPr>
          <w:rFonts w:ascii="Calibri" w:eastAsia="Times New Roman" w:hAnsi="Calibri" w:cs="Times New Roman"/>
          <w:color w:val="000000"/>
          <w:sz w:val="24"/>
          <w:szCs w:val="24"/>
          <w:lang w:eastAsia="fr-FR"/>
        </w:rPr>
        <w:t>Les cotisations non payées sont automatiquement reportées sans pénalité, ni majoration de retard. Puis un plan d’apurement des dettes pouvant aller jusqu’à 36 mois sera mis en place par l’Urssaf.</w:t>
      </w:r>
    </w:p>
    <w:p w14:paraId="57E045D8" w14:textId="77777777" w:rsidR="001B776C" w:rsidRPr="001B776C" w:rsidRDefault="001B776C" w:rsidP="001B776C">
      <w:pPr>
        <w:spacing w:after="0" w:line="240" w:lineRule="auto"/>
        <w:jc w:val="both"/>
        <w:rPr>
          <w:rFonts w:ascii="Times New Roman" w:eastAsia="Times New Roman" w:hAnsi="Times New Roman" w:cs="Times New Roman"/>
          <w:color w:val="000000"/>
          <w:sz w:val="24"/>
          <w:szCs w:val="24"/>
          <w:lang w:eastAsia="fr-FR"/>
        </w:rPr>
      </w:pPr>
      <w:r w:rsidRPr="001B776C">
        <w:rPr>
          <w:rFonts w:ascii="Calibri" w:eastAsia="Times New Roman" w:hAnsi="Calibri" w:cs="Times New Roman"/>
          <w:color w:val="000000"/>
          <w:sz w:val="24"/>
          <w:szCs w:val="24"/>
          <w:lang w:eastAsia="fr-FR"/>
        </w:rPr>
        <w:t> </w:t>
      </w:r>
    </w:p>
    <w:p w14:paraId="51E443FD" w14:textId="77777777" w:rsidR="001B776C" w:rsidRPr="001B776C" w:rsidRDefault="001B776C" w:rsidP="001B776C">
      <w:pPr>
        <w:spacing w:after="0" w:line="240" w:lineRule="auto"/>
        <w:jc w:val="both"/>
        <w:rPr>
          <w:rFonts w:ascii="Times New Roman" w:eastAsia="Times New Roman" w:hAnsi="Times New Roman" w:cs="Times New Roman"/>
          <w:color w:val="000000"/>
          <w:sz w:val="24"/>
          <w:szCs w:val="24"/>
          <w:lang w:eastAsia="fr-FR"/>
        </w:rPr>
      </w:pPr>
      <w:r w:rsidRPr="001B776C">
        <w:rPr>
          <w:rFonts w:ascii="Calibri" w:eastAsia="Times New Roman" w:hAnsi="Calibri" w:cs="Times New Roman"/>
          <w:color w:val="000000"/>
          <w:sz w:val="24"/>
          <w:szCs w:val="24"/>
          <w:lang w:eastAsia="fr-FR"/>
        </w:rPr>
        <w:t>Les modalités de paiement des acomptes d’IS peuvent donc être adaptées : </w:t>
      </w:r>
    </w:p>
    <w:p w14:paraId="3D11168E" w14:textId="77777777" w:rsidR="001B776C" w:rsidRPr="00787A88" w:rsidRDefault="001B776C" w:rsidP="00787A88">
      <w:pPr>
        <w:pStyle w:val="Paragraphedeliste"/>
        <w:numPr>
          <w:ilvl w:val="0"/>
          <w:numId w:val="23"/>
        </w:numPr>
        <w:spacing w:after="0" w:line="240" w:lineRule="auto"/>
        <w:jc w:val="both"/>
        <w:textAlignment w:val="baseline"/>
        <w:rPr>
          <w:rFonts w:ascii="Calibri" w:eastAsia="Times New Roman" w:hAnsi="Calibri" w:cs="Times New Roman"/>
          <w:color w:val="000000"/>
          <w:sz w:val="24"/>
          <w:szCs w:val="24"/>
          <w:lang w:eastAsia="fr-FR"/>
        </w:rPr>
      </w:pPr>
      <w:r w:rsidRPr="00787A88">
        <w:rPr>
          <w:rFonts w:ascii="Calibri" w:eastAsia="Times New Roman" w:hAnsi="Calibri" w:cs="Times New Roman"/>
          <w:color w:val="000000"/>
          <w:sz w:val="24"/>
          <w:szCs w:val="24"/>
          <w:lang w:eastAsia="fr-FR"/>
        </w:rPr>
        <w:t>1</w:t>
      </w:r>
      <w:r w:rsidRPr="00787A88">
        <w:rPr>
          <w:rFonts w:ascii="Calibri" w:eastAsia="Times New Roman" w:hAnsi="Calibri" w:cs="Times New Roman"/>
          <w:color w:val="000000"/>
          <w:sz w:val="14"/>
          <w:szCs w:val="14"/>
          <w:vertAlign w:val="superscript"/>
          <w:lang w:eastAsia="fr-FR"/>
        </w:rPr>
        <w:t>er</w:t>
      </w:r>
      <w:r w:rsidRPr="00787A88">
        <w:rPr>
          <w:rFonts w:ascii="Calibri" w:eastAsia="Times New Roman" w:hAnsi="Calibri" w:cs="Times New Roman"/>
          <w:color w:val="000000"/>
          <w:sz w:val="24"/>
          <w:szCs w:val="24"/>
          <w:lang w:eastAsia="fr-FR"/>
        </w:rPr>
        <w:t xml:space="preserve"> acompte d’IS dû au 15 mars 2021 : 25% du montant d’IS prévisionnel de l’exercice clos le 31 décembre 2020 (et non le 31 décembre 2019), marge d’erreur de 10% ; </w:t>
      </w:r>
    </w:p>
    <w:p w14:paraId="539B10AA" w14:textId="77777777" w:rsidR="001B776C" w:rsidRPr="00787A88" w:rsidRDefault="001B776C" w:rsidP="00787A88">
      <w:pPr>
        <w:pStyle w:val="Paragraphedeliste"/>
        <w:numPr>
          <w:ilvl w:val="0"/>
          <w:numId w:val="23"/>
        </w:numPr>
        <w:spacing w:after="0" w:line="240" w:lineRule="auto"/>
        <w:jc w:val="both"/>
        <w:textAlignment w:val="baseline"/>
        <w:rPr>
          <w:rFonts w:ascii="Calibri" w:eastAsia="Times New Roman" w:hAnsi="Calibri" w:cs="Times New Roman"/>
          <w:color w:val="000000"/>
          <w:sz w:val="24"/>
          <w:szCs w:val="24"/>
          <w:lang w:eastAsia="fr-FR"/>
        </w:rPr>
      </w:pPr>
      <w:r w:rsidRPr="00787A88">
        <w:rPr>
          <w:rFonts w:ascii="Calibri" w:eastAsia="Times New Roman" w:hAnsi="Calibri" w:cs="Times New Roman"/>
          <w:color w:val="000000"/>
          <w:sz w:val="24"/>
          <w:szCs w:val="24"/>
          <w:lang w:eastAsia="fr-FR"/>
        </w:rPr>
        <w:t>2</w:t>
      </w:r>
      <w:r w:rsidRPr="00787A88">
        <w:rPr>
          <w:rFonts w:ascii="Calibri" w:eastAsia="Times New Roman" w:hAnsi="Calibri" w:cs="Times New Roman"/>
          <w:color w:val="000000"/>
          <w:sz w:val="14"/>
          <w:szCs w:val="14"/>
          <w:vertAlign w:val="superscript"/>
          <w:lang w:eastAsia="fr-FR"/>
        </w:rPr>
        <w:t>ème</w:t>
      </w:r>
      <w:r w:rsidRPr="00787A88">
        <w:rPr>
          <w:rFonts w:ascii="Calibri" w:eastAsia="Times New Roman" w:hAnsi="Calibri" w:cs="Times New Roman"/>
          <w:color w:val="000000"/>
          <w:sz w:val="24"/>
          <w:szCs w:val="24"/>
          <w:lang w:eastAsia="fr-FR"/>
        </w:rPr>
        <w:t xml:space="preserve"> acompte dû au 15 juin 2021 : la somme des 2 acomptes doit correspondre à 50% au moins de l’IS de l’exercice clos le 31 décembre 2020. </w:t>
      </w:r>
    </w:p>
    <w:p w14:paraId="7EDB23BE" w14:textId="77777777" w:rsidR="001B776C" w:rsidRPr="001B776C" w:rsidRDefault="001B776C" w:rsidP="001B776C">
      <w:pPr>
        <w:spacing w:after="0" w:line="240" w:lineRule="auto"/>
        <w:jc w:val="both"/>
        <w:rPr>
          <w:rFonts w:ascii="Times New Roman" w:eastAsia="Times New Roman" w:hAnsi="Times New Roman" w:cs="Times New Roman"/>
          <w:color w:val="000000"/>
          <w:sz w:val="24"/>
          <w:szCs w:val="24"/>
          <w:lang w:eastAsia="fr-FR"/>
        </w:rPr>
      </w:pPr>
      <w:r w:rsidRPr="001B776C">
        <w:rPr>
          <w:rFonts w:ascii="Calibri" w:eastAsia="Times New Roman" w:hAnsi="Calibri" w:cs="Times New Roman"/>
          <w:color w:val="000000"/>
          <w:sz w:val="24"/>
          <w:szCs w:val="24"/>
          <w:lang w:eastAsia="fr-FR"/>
        </w:rPr>
        <w:t> </w:t>
      </w:r>
    </w:p>
    <w:p w14:paraId="37F735FF" w14:textId="77777777" w:rsidR="001B776C" w:rsidRPr="001B776C" w:rsidRDefault="001B776C" w:rsidP="001B776C">
      <w:pPr>
        <w:spacing w:after="0" w:line="240" w:lineRule="auto"/>
        <w:jc w:val="both"/>
        <w:rPr>
          <w:rFonts w:ascii="Times New Roman" w:eastAsia="Times New Roman" w:hAnsi="Times New Roman" w:cs="Times New Roman"/>
          <w:color w:val="000000"/>
          <w:sz w:val="24"/>
          <w:szCs w:val="24"/>
          <w:lang w:eastAsia="fr-FR"/>
        </w:rPr>
      </w:pPr>
      <w:r w:rsidRPr="001B776C">
        <w:rPr>
          <w:rFonts w:ascii="Calibri" w:eastAsia="Times New Roman" w:hAnsi="Calibri" w:cs="Times New Roman"/>
          <w:color w:val="000000"/>
          <w:sz w:val="24"/>
          <w:szCs w:val="24"/>
          <w:lang w:eastAsia="fr-FR"/>
        </w:rPr>
        <w:t>Ces modalités s’appliqueront également aux acomptes de contribution sociale sur l’IS du 15 mars et du 15 juin 2021. </w:t>
      </w:r>
    </w:p>
    <w:p w14:paraId="21DF48C9" w14:textId="77777777" w:rsidR="001B776C" w:rsidRPr="001B776C" w:rsidRDefault="001B776C" w:rsidP="001B776C">
      <w:pPr>
        <w:spacing w:after="0" w:line="240" w:lineRule="auto"/>
        <w:jc w:val="both"/>
        <w:rPr>
          <w:rFonts w:ascii="Times New Roman" w:eastAsia="Times New Roman" w:hAnsi="Times New Roman" w:cs="Times New Roman"/>
          <w:color w:val="000000"/>
          <w:sz w:val="24"/>
          <w:szCs w:val="24"/>
          <w:lang w:eastAsia="fr-FR"/>
        </w:rPr>
      </w:pPr>
      <w:r w:rsidRPr="001B776C">
        <w:rPr>
          <w:rFonts w:ascii="Calibri" w:eastAsia="Times New Roman" w:hAnsi="Calibri" w:cs="Times New Roman"/>
          <w:color w:val="000000"/>
          <w:sz w:val="24"/>
          <w:szCs w:val="24"/>
          <w:lang w:eastAsia="fr-FR"/>
        </w:rPr>
        <w:t> </w:t>
      </w:r>
    </w:p>
    <w:p w14:paraId="0DF815FF" w14:textId="77777777" w:rsidR="001B776C" w:rsidRPr="001B776C" w:rsidRDefault="001B776C" w:rsidP="001B776C">
      <w:pPr>
        <w:spacing w:after="0" w:line="240" w:lineRule="auto"/>
        <w:jc w:val="both"/>
        <w:rPr>
          <w:rFonts w:ascii="Times New Roman" w:eastAsia="Times New Roman" w:hAnsi="Times New Roman" w:cs="Times New Roman"/>
          <w:color w:val="000000"/>
          <w:sz w:val="24"/>
          <w:szCs w:val="24"/>
          <w:lang w:eastAsia="fr-FR"/>
        </w:rPr>
      </w:pPr>
      <w:r w:rsidRPr="001B776C">
        <w:rPr>
          <w:rFonts w:ascii="Calibri" w:eastAsia="Times New Roman" w:hAnsi="Calibri" w:cs="Times New Roman"/>
          <w:color w:val="000000"/>
          <w:sz w:val="24"/>
          <w:szCs w:val="24"/>
          <w:lang w:eastAsia="fr-FR"/>
        </w:rPr>
        <w:t>Les entreprises peuvent également bénéficier d’un remboursement accéléré de leurs crédits d’impôt et de TVA : </w:t>
      </w:r>
    </w:p>
    <w:p w14:paraId="01709C5A" w14:textId="3FE7768B" w:rsidR="001B776C" w:rsidRPr="00787A88" w:rsidRDefault="001B776C" w:rsidP="00787A88">
      <w:pPr>
        <w:pStyle w:val="Paragraphedeliste"/>
        <w:numPr>
          <w:ilvl w:val="0"/>
          <w:numId w:val="24"/>
        </w:numPr>
        <w:spacing w:after="0" w:line="240" w:lineRule="auto"/>
        <w:jc w:val="both"/>
        <w:textAlignment w:val="baseline"/>
        <w:rPr>
          <w:rFonts w:ascii="Calibri" w:eastAsia="Times New Roman" w:hAnsi="Calibri" w:cs="Times New Roman"/>
          <w:color w:val="000000"/>
          <w:sz w:val="24"/>
          <w:szCs w:val="24"/>
          <w:lang w:eastAsia="fr-FR"/>
        </w:rPr>
      </w:pPr>
      <w:r w:rsidRPr="00787A88">
        <w:rPr>
          <w:rFonts w:ascii="Calibri" w:eastAsia="Times New Roman" w:hAnsi="Calibri" w:cs="Times New Roman"/>
          <w:color w:val="000000"/>
          <w:sz w:val="24"/>
          <w:szCs w:val="24"/>
          <w:lang w:eastAsia="fr-FR"/>
        </w:rPr>
        <w:t xml:space="preserve">Concernant le remboursement des crédits d’impôt, les </w:t>
      </w:r>
      <w:r w:rsidRPr="00787A88">
        <w:rPr>
          <w:rFonts w:ascii="Calibri" w:eastAsia="Times New Roman" w:hAnsi="Calibri" w:cs="Times New Roman"/>
          <w:color w:val="000000"/>
          <w:sz w:val="24"/>
          <w:szCs w:val="24"/>
          <w:shd w:val="clear" w:color="auto" w:fill="FFFFFF"/>
          <w:lang w:eastAsia="fr-FR"/>
        </w:rPr>
        <w:t>entreprises qui disposent d'un ou plusieurs crédits d'impôt restituables en 2021 peuvent demander le remboursement du solde de la créance disponible (sans attendre le dépôt de leur déclaration de résultat). Ce dispositif concerne tous les crédits d’impôt restituables en 2021, et notamment le crédit d’impôt bailleur et le crédit d’impôt rénovation énergétique pour les PME créés depuis le début de la crise. Les entreprises doivent se rendre sur leur espace professionnel (impôt.gouv.fr) afin de télécharger une demande de remboursement de crédit d’impôt (formulaire n° 2573) et une déclaration permettant de justifier du crédit d’impôt (déclaration n° 2069-RCI) ; </w:t>
      </w:r>
    </w:p>
    <w:p w14:paraId="582ACB76" w14:textId="1754DCAF" w:rsidR="001B776C" w:rsidRPr="00787A88" w:rsidRDefault="001B776C" w:rsidP="00787A88">
      <w:pPr>
        <w:pStyle w:val="Paragraphedeliste"/>
        <w:numPr>
          <w:ilvl w:val="0"/>
          <w:numId w:val="24"/>
        </w:numPr>
        <w:spacing w:after="0" w:line="240" w:lineRule="auto"/>
        <w:jc w:val="both"/>
        <w:textAlignment w:val="baseline"/>
        <w:rPr>
          <w:rFonts w:ascii="Calibri" w:eastAsia="Times New Roman" w:hAnsi="Calibri" w:cs="Times New Roman"/>
          <w:color w:val="000000"/>
          <w:sz w:val="24"/>
          <w:szCs w:val="24"/>
          <w:lang w:eastAsia="fr-FR"/>
        </w:rPr>
      </w:pPr>
      <w:r w:rsidRPr="00787A88">
        <w:rPr>
          <w:rFonts w:ascii="Calibri" w:eastAsia="Times New Roman" w:hAnsi="Calibri" w:cs="Times New Roman"/>
          <w:color w:val="000000"/>
          <w:sz w:val="24"/>
          <w:szCs w:val="24"/>
          <w:shd w:val="clear" w:color="auto" w:fill="FFFFFF"/>
          <w:lang w:eastAsia="fr-FR"/>
        </w:rPr>
        <w:t>Concernant le remboursement des crédits de TVA, les entreprises qui disposent d’un ou plusieurs crédits de TVA restituables en 2021 peuvent en demander le remboursement directement sur leur espace professionnel (impots.gouv.fr) ou par l’intermédiaire d’un partenaire agréé (partenaire EDI). </w:t>
      </w:r>
    </w:p>
    <w:p w14:paraId="1DE15DFD" w14:textId="0D67B0E3" w:rsidR="004A3ADF" w:rsidRPr="001B776C" w:rsidRDefault="004A3ADF" w:rsidP="004A3ADF">
      <w:pPr>
        <w:spacing w:after="0" w:line="240" w:lineRule="auto"/>
        <w:jc w:val="both"/>
        <w:textAlignment w:val="baseline"/>
        <w:rPr>
          <w:rFonts w:ascii="Calibri" w:eastAsia="Times New Roman" w:hAnsi="Calibri" w:cs="Times New Roman"/>
          <w:color w:val="000000"/>
          <w:sz w:val="24"/>
          <w:szCs w:val="24"/>
          <w:lang w:eastAsia="fr-FR"/>
        </w:rPr>
      </w:pPr>
    </w:p>
    <w:p w14:paraId="4EE02C62" w14:textId="77C2CADD" w:rsidR="004A3ADF" w:rsidRPr="004A3ADF" w:rsidRDefault="004A3ADF" w:rsidP="004A3ADF">
      <w:pPr>
        <w:spacing w:after="0" w:line="240" w:lineRule="auto"/>
        <w:jc w:val="both"/>
        <w:rPr>
          <w:rFonts w:ascii="Calibri" w:eastAsia="Times New Roman" w:hAnsi="Calibri" w:cs="Times New Roman"/>
          <w:color w:val="000000"/>
          <w:sz w:val="24"/>
          <w:szCs w:val="24"/>
          <w:lang w:eastAsia="fr-FR"/>
        </w:rPr>
      </w:pPr>
      <w:r w:rsidRPr="004A3ADF">
        <w:rPr>
          <w:rFonts w:ascii="Calibri" w:eastAsia="Times New Roman" w:hAnsi="Calibri" w:cs="Times New Roman"/>
          <w:color w:val="000000"/>
          <w:sz w:val="24"/>
          <w:szCs w:val="24"/>
          <w:lang w:eastAsia="fr-FR"/>
        </w:rPr>
        <w:t>Suite à un troisième durcissement des mesures de lutte contre la pandémie, le versement des cotisations sociales pourra être reporté. Les employeurs qui souhaitent en bénéficier devront remplir le formulaire adéquat sur le site de l’U</w:t>
      </w:r>
      <w:r>
        <w:rPr>
          <w:rFonts w:ascii="Calibri" w:eastAsia="Times New Roman" w:hAnsi="Calibri" w:cs="Times New Roman"/>
          <w:color w:val="000000"/>
          <w:sz w:val="24"/>
          <w:szCs w:val="24"/>
          <w:lang w:eastAsia="fr-FR"/>
        </w:rPr>
        <w:t>RSSAF</w:t>
      </w:r>
      <w:r w:rsidRPr="004A3ADF">
        <w:rPr>
          <w:rFonts w:ascii="Calibri" w:eastAsia="Times New Roman" w:hAnsi="Calibri" w:cs="Times New Roman"/>
          <w:color w:val="000000"/>
          <w:sz w:val="24"/>
          <w:szCs w:val="24"/>
          <w:lang w:eastAsia="fr-FR"/>
        </w:rPr>
        <w:t>.</w:t>
      </w:r>
    </w:p>
    <w:p w14:paraId="4540DB78" w14:textId="1FA33BFC" w:rsidR="004A3ADF" w:rsidRPr="004A3ADF" w:rsidRDefault="004A3ADF" w:rsidP="001B776C">
      <w:pPr>
        <w:spacing w:after="0" w:line="240" w:lineRule="auto"/>
        <w:jc w:val="both"/>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En revanche, l</w:t>
      </w:r>
      <w:r w:rsidRPr="004A3ADF">
        <w:rPr>
          <w:rFonts w:ascii="Calibri" w:eastAsia="Times New Roman" w:hAnsi="Calibri" w:cs="Times New Roman"/>
          <w:color w:val="000000"/>
          <w:sz w:val="24"/>
          <w:szCs w:val="24"/>
          <w:lang w:eastAsia="fr-FR"/>
        </w:rPr>
        <w:t>es indépendants des secteurs S1 et S1 bis n’auront aucune démarche à accomplir et ne seront pas prélevés de cette cotisation.</w:t>
      </w:r>
    </w:p>
    <w:p w14:paraId="2E5A86E4" w14:textId="5DE0BC9B" w:rsidR="004A3ADF" w:rsidRDefault="004A3ADF" w:rsidP="001B776C">
      <w:pPr>
        <w:spacing w:after="0" w:line="240" w:lineRule="auto"/>
        <w:jc w:val="both"/>
        <w:rPr>
          <w:rFonts w:ascii="Calibri" w:eastAsia="Times New Roman" w:hAnsi="Calibri" w:cs="Times New Roman"/>
          <w:color w:val="000000"/>
          <w:sz w:val="24"/>
          <w:szCs w:val="24"/>
          <w:shd w:val="clear" w:color="auto" w:fill="FFFFFF"/>
          <w:lang w:eastAsia="fr-FR"/>
        </w:rPr>
      </w:pPr>
    </w:p>
    <w:p w14:paraId="4D530B66" w14:textId="77777777" w:rsidR="004A3ADF" w:rsidRDefault="004A3ADF" w:rsidP="001B776C">
      <w:pPr>
        <w:spacing w:after="0" w:line="240" w:lineRule="auto"/>
        <w:jc w:val="both"/>
        <w:rPr>
          <w:rFonts w:ascii="Calibri" w:eastAsia="Times New Roman" w:hAnsi="Calibri" w:cs="Times New Roman"/>
          <w:color w:val="000000"/>
          <w:sz w:val="24"/>
          <w:szCs w:val="24"/>
          <w:shd w:val="clear" w:color="auto" w:fill="FFFFFF"/>
          <w:lang w:eastAsia="fr-FR"/>
        </w:rPr>
      </w:pPr>
    </w:p>
    <w:p w14:paraId="5A1CB301" w14:textId="77777777" w:rsidR="004A3ADF" w:rsidRDefault="004A3ADF" w:rsidP="001B776C">
      <w:pPr>
        <w:spacing w:after="0" w:line="240" w:lineRule="auto"/>
        <w:jc w:val="both"/>
        <w:rPr>
          <w:rFonts w:ascii="Calibri" w:eastAsia="Times New Roman" w:hAnsi="Calibri" w:cs="Times New Roman"/>
          <w:color w:val="000000"/>
          <w:sz w:val="24"/>
          <w:szCs w:val="24"/>
          <w:shd w:val="clear" w:color="auto" w:fill="FFFFFF"/>
          <w:lang w:eastAsia="fr-FR"/>
        </w:rPr>
      </w:pPr>
    </w:p>
    <w:p w14:paraId="59D66F10" w14:textId="77777777" w:rsidR="004A3ADF" w:rsidRDefault="004A3ADF" w:rsidP="001B776C">
      <w:pPr>
        <w:spacing w:after="0" w:line="240" w:lineRule="auto"/>
        <w:jc w:val="both"/>
        <w:rPr>
          <w:rFonts w:ascii="Calibri" w:eastAsia="Times New Roman" w:hAnsi="Calibri" w:cs="Times New Roman"/>
          <w:color w:val="000000"/>
          <w:sz w:val="24"/>
          <w:szCs w:val="24"/>
          <w:shd w:val="clear" w:color="auto" w:fill="FFFFFF"/>
          <w:lang w:eastAsia="fr-FR"/>
        </w:rPr>
      </w:pPr>
    </w:p>
    <w:p w14:paraId="5E9BD3DB" w14:textId="77777777" w:rsidR="004A3ADF" w:rsidRDefault="004A3ADF" w:rsidP="001B776C">
      <w:pPr>
        <w:spacing w:after="0" w:line="240" w:lineRule="auto"/>
        <w:jc w:val="both"/>
        <w:rPr>
          <w:rFonts w:ascii="Calibri" w:eastAsia="Times New Roman" w:hAnsi="Calibri" w:cs="Times New Roman"/>
          <w:color w:val="000000"/>
          <w:sz w:val="24"/>
          <w:szCs w:val="24"/>
          <w:shd w:val="clear" w:color="auto" w:fill="FFFFFF"/>
          <w:lang w:eastAsia="fr-FR"/>
        </w:rPr>
      </w:pPr>
    </w:p>
    <w:p w14:paraId="01F5A793" w14:textId="75923118" w:rsidR="004A3ADF" w:rsidRDefault="004A3ADF" w:rsidP="001B776C">
      <w:pPr>
        <w:spacing w:after="0" w:line="240" w:lineRule="auto"/>
        <w:jc w:val="both"/>
        <w:rPr>
          <w:rFonts w:ascii="Calibri" w:eastAsia="Times New Roman" w:hAnsi="Calibri" w:cs="Times New Roman"/>
          <w:color w:val="000000"/>
          <w:sz w:val="24"/>
          <w:szCs w:val="24"/>
          <w:shd w:val="clear" w:color="auto" w:fill="FFFFFF"/>
          <w:lang w:eastAsia="fr-FR"/>
        </w:rPr>
      </w:pPr>
    </w:p>
    <w:p w14:paraId="1F98A323" w14:textId="77777777" w:rsidR="004A3ADF" w:rsidRDefault="004A3ADF" w:rsidP="001B776C">
      <w:pPr>
        <w:spacing w:after="0" w:line="240" w:lineRule="auto"/>
        <w:jc w:val="both"/>
        <w:rPr>
          <w:rFonts w:ascii="Calibri" w:eastAsia="Times New Roman" w:hAnsi="Calibri" w:cs="Times New Roman"/>
          <w:color w:val="000000"/>
          <w:sz w:val="24"/>
          <w:szCs w:val="24"/>
          <w:shd w:val="clear" w:color="auto" w:fill="FFFFFF"/>
          <w:lang w:eastAsia="fr-FR"/>
        </w:rPr>
      </w:pPr>
    </w:p>
    <w:p w14:paraId="3826DDCA" w14:textId="77777777" w:rsidR="004A3ADF" w:rsidRDefault="004A3ADF" w:rsidP="001B776C">
      <w:pPr>
        <w:spacing w:after="0" w:line="240" w:lineRule="auto"/>
        <w:jc w:val="both"/>
        <w:rPr>
          <w:rFonts w:ascii="Calibri" w:eastAsia="Times New Roman" w:hAnsi="Calibri" w:cs="Times New Roman"/>
          <w:color w:val="000000"/>
          <w:sz w:val="24"/>
          <w:szCs w:val="24"/>
          <w:shd w:val="clear" w:color="auto" w:fill="FFFFFF"/>
          <w:lang w:eastAsia="fr-FR"/>
        </w:rPr>
      </w:pPr>
    </w:p>
    <w:p w14:paraId="0BC6BBB8" w14:textId="77777777" w:rsidR="004A3ADF" w:rsidRDefault="004A3ADF" w:rsidP="001B776C">
      <w:pPr>
        <w:spacing w:after="0" w:line="240" w:lineRule="auto"/>
        <w:jc w:val="both"/>
        <w:rPr>
          <w:rFonts w:ascii="Calibri" w:eastAsia="Times New Roman" w:hAnsi="Calibri" w:cs="Times New Roman"/>
          <w:color w:val="000000"/>
          <w:sz w:val="24"/>
          <w:szCs w:val="24"/>
          <w:shd w:val="clear" w:color="auto" w:fill="FFFFFF"/>
          <w:lang w:eastAsia="fr-FR"/>
        </w:rPr>
      </w:pPr>
    </w:p>
    <w:p w14:paraId="2B1BB7D0" w14:textId="77777777" w:rsidR="006D6917" w:rsidRDefault="006D6917" w:rsidP="001B776C">
      <w:pPr>
        <w:spacing w:after="0" w:line="240" w:lineRule="auto"/>
        <w:jc w:val="both"/>
        <w:rPr>
          <w:rFonts w:ascii="Calibri" w:eastAsia="Times New Roman" w:hAnsi="Calibri" w:cs="Times New Roman"/>
          <w:color w:val="000000"/>
          <w:sz w:val="24"/>
          <w:szCs w:val="24"/>
          <w:shd w:val="clear" w:color="auto" w:fill="FFFFFF"/>
          <w:lang w:eastAsia="fr-FR"/>
        </w:rPr>
      </w:pPr>
    </w:p>
    <w:p w14:paraId="7DE5D959" w14:textId="6A968290" w:rsidR="001B776C" w:rsidRPr="00C87B1A" w:rsidRDefault="00D87F4E" w:rsidP="001B776C">
      <w:pPr>
        <w:spacing w:after="0" w:line="240" w:lineRule="auto"/>
        <w:jc w:val="both"/>
        <w:rPr>
          <w:rFonts w:ascii="Calibri" w:eastAsia="Times New Roman" w:hAnsi="Calibri" w:cs="Times New Roman"/>
          <w:color w:val="000000"/>
          <w:sz w:val="24"/>
          <w:szCs w:val="24"/>
          <w:shd w:val="clear" w:color="auto" w:fill="FFFFFF"/>
          <w:lang w:eastAsia="fr-FR"/>
        </w:rPr>
      </w:pPr>
      <w:r w:rsidRPr="001B776C">
        <w:rPr>
          <w:rFonts w:ascii="Calibri" w:hAnsi="Calibri"/>
          <w:noProof/>
          <w:sz w:val="24"/>
          <w:szCs w:val="24"/>
        </w:rPr>
        <mc:AlternateContent>
          <mc:Choice Requires="wps">
            <w:drawing>
              <wp:anchor distT="152400" distB="152400" distL="152400" distR="152400" simplePos="0" relativeHeight="251679744" behindDoc="0" locked="0" layoutInCell="1" allowOverlap="1" wp14:anchorId="652F682A" wp14:editId="1753CCA1">
                <wp:simplePos x="0" y="0"/>
                <wp:positionH relativeFrom="margin">
                  <wp:posOffset>-711200</wp:posOffset>
                </wp:positionH>
                <wp:positionV relativeFrom="page">
                  <wp:posOffset>809625</wp:posOffset>
                </wp:positionV>
                <wp:extent cx="6565900" cy="1270000"/>
                <wp:effectExtent l="0" t="0" r="38100" b="25400"/>
                <wp:wrapTopAndBottom distT="152400" distB="152400"/>
                <wp:docPr id="11" name="officeArt object"/>
                <wp:cNvGraphicFramePr/>
                <a:graphic xmlns:a="http://schemas.openxmlformats.org/drawingml/2006/main">
                  <a:graphicData uri="http://schemas.microsoft.com/office/word/2010/wordprocessingShape">
                    <wps:wsp>
                      <wps:cNvSpPr/>
                      <wps:spPr>
                        <a:xfrm>
                          <a:off x="0" y="0"/>
                          <a:ext cx="6565900" cy="1270000"/>
                        </a:xfrm>
                        <a:prstGeom prst="roundRect">
                          <a:avLst>
                            <a:gd name="adj" fmla="val 15000"/>
                          </a:avLst>
                        </a:prstGeom>
                        <a:ln/>
                      </wps:spPr>
                      <wps:style>
                        <a:lnRef idx="1">
                          <a:schemeClr val="accent1"/>
                        </a:lnRef>
                        <a:fillRef idx="3">
                          <a:schemeClr val="accent1"/>
                        </a:fillRef>
                        <a:effectRef idx="2">
                          <a:schemeClr val="accent1"/>
                        </a:effectRef>
                        <a:fontRef idx="minor">
                          <a:schemeClr val="lt1"/>
                        </a:fontRef>
                      </wps:style>
                      <wps:txbx>
                        <w:txbxContent>
                          <w:p w14:paraId="3496377B" w14:textId="77777777" w:rsidR="001B776C" w:rsidRDefault="001B776C" w:rsidP="001B776C">
                            <w:pPr>
                              <w:pStyle w:val="tiquette"/>
                              <w:ind w:left="283"/>
                              <w:rPr>
                                <w:sz w:val="52"/>
                                <w:szCs w:val="52"/>
                              </w:rPr>
                            </w:pPr>
                            <w:r>
                              <w:rPr>
                                <w:sz w:val="52"/>
                                <w:szCs w:val="52"/>
                              </w:rPr>
                              <w:t xml:space="preserve">Focus sur les secteurs de l’hôtellerie </w:t>
                            </w:r>
                          </w:p>
                          <w:p w14:paraId="2D4C32C6" w14:textId="01DB4972" w:rsidR="001B776C" w:rsidRPr="001B776C" w:rsidRDefault="001B776C" w:rsidP="001B776C">
                            <w:pPr>
                              <w:pStyle w:val="tiquette"/>
                              <w:ind w:left="283"/>
                              <w:rPr>
                                <w:sz w:val="52"/>
                                <w:szCs w:val="52"/>
                              </w:rPr>
                            </w:pPr>
                            <w:proofErr w:type="gramStart"/>
                            <w:r>
                              <w:rPr>
                                <w:sz w:val="52"/>
                                <w:szCs w:val="52"/>
                              </w:rPr>
                              <w:t>et</w:t>
                            </w:r>
                            <w:proofErr w:type="gramEnd"/>
                            <w:r>
                              <w:rPr>
                                <w:sz w:val="52"/>
                                <w:szCs w:val="52"/>
                              </w:rPr>
                              <w:t xml:space="preserve"> de la restauration</w:t>
                            </w:r>
                          </w:p>
                        </w:txbxContent>
                      </wps:txbx>
                      <wps:bodyPr wrap="square" lIns="50800" tIns="50800" rIns="50800" bIns="50800" numCol="1" anchor="ctr">
                        <a:noAutofit/>
                      </wps:bodyPr>
                    </wps:wsp>
                  </a:graphicData>
                </a:graphic>
              </wp:anchor>
            </w:drawing>
          </mc:Choice>
          <mc:Fallback>
            <w:pict>
              <v:roundrect w14:anchorId="652F682A" id="_x0000_s1030" style="position:absolute;left:0;text-align:left;margin-left:-56pt;margin-top:63.75pt;width:517pt;height:100pt;z-index:251679744;visibility:visible;mso-wrap-style:square;mso-wrap-distance-left:12pt;mso-wrap-distance-top:12pt;mso-wrap-distance-right:12pt;mso-wrap-distance-bottom:12pt;mso-position-horizontal:absolute;mso-position-horizontal-relative:margin;mso-position-vertical:absolute;mso-position-vertical-relative:page;v-text-anchor:middle" arcsize="983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ySYEwIAAIQEAAAOAAAAZHJzL2Uyb0RvYy54bWysVFFv2yAQfp+0/4B4X2xnS9ZFcaqq1aZJ&#13;&#10;01a16w8gGGIq4BiQ2Pn3O7DjRNukStX8gDlz99133x1eX/dGk4PwQYGtaTUrKRGWQ6PsrqZPPz+/&#13;&#10;u6IkRGYbpsGKmh5FoNebt2/WnVuJObSgG+EJgtiw6lxN2xjdqigCb4VhYQZOWDyU4A2LaPpd0XjW&#13;&#10;IbrRxbwsl0UHvnEeuAgBv94Nh3ST8aUUPP6QMohIdE2RW8yrz+s2rcVmzVY7z1yr+EiDvYKFYcpi&#13;&#10;0gnqjkVG9l79BWUU9xBAxhkHU4CUiotcA1ZTlX9U89gyJ3ItKE5wk0zh/8Hy74d7T1SDvasoscxg&#13;&#10;jwZWNz4S2D6jgkmkzoUV+j66ez9aAbep4l56k94YRfos7HESVvSRcPy4XCwXn0rUn+NZNf9Y4pNQ&#13;&#10;i3O48yF+EWBI2tTUw942Dyl5wmaHbyFmeZuRI2ueKZFGY7MOTJNqcUYcnRH7hJkitU35UhkD8byL&#13;&#10;Ry2GwwchUQWkWuWEef7ErfYE0WvKOBc2ViNlbdE7hUml9RT4/uXA0T+FijybU/D85eApImcGG6dg&#13;&#10;oyz4fwHoibIc/E8KDHUnCWK/7XP7P5y6vIXmiCPR4Z2oafi1Z15Qor9aHLpFeZWaGC8Nf2lsLw27&#13;&#10;N7eA4uFcMctbwFvH48DTws0+glTx1JMh6UgPRz2Pxngt0126tLPX+eex+Q0AAP//AwBQSwMEFAAG&#13;&#10;AAgAAAAhALroqtXjAAAAEQEAAA8AAABkcnMvZG93bnJldi54bWxMT8lOwzAQvSPxD9YgcWudhTWN&#13;&#10;UyGgSCCBRFPuTjwkUb2E2E3Tv2dygstI897MW/L1ZDQbcfCdswLiZQQMbe1UZxsBu3KzuAPmg7RK&#13;&#10;amdRwAk9rIvzs1xmyh3tJ47b0DASsT6TAtoQ+oxzX7dopF+6Hi1x324wMtA6NFwN8kjiRvMkim64&#13;&#10;kZ0lh1b2+Nhivd8ejICxvDr9JO/VW/mxe9686H3Kv15TIS4vpqcVjYcVsIBT+PuAuQPlh4KCVe5g&#13;&#10;lWdawCKOE2oUiElur4HRyX0yI5WAdEZ4kfP/TYpfAAAA//8DAFBLAQItABQABgAIAAAAIQC2gziS&#13;&#10;/gAAAOEBAAATAAAAAAAAAAAAAAAAAAAAAABbQ29udGVudF9UeXBlc10ueG1sUEsBAi0AFAAGAAgA&#13;&#10;AAAhADj9If/WAAAAlAEAAAsAAAAAAAAAAAAAAAAALwEAAF9yZWxzLy5yZWxzUEsBAi0AFAAGAAgA&#13;&#10;AAAhACg3JJgTAgAAhAQAAA4AAAAAAAAAAAAAAAAALgIAAGRycy9lMm9Eb2MueG1sUEsBAi0AFAAG&#13;&#10;AAgAAAAhALroqtXjAAAAEQEAAA8AAAAAAAAAAAAAAAAAbQQAAGRycy9kb3ducmV2LnhtbFBLBQYA&#13;&#10;AAAABAAEAPMAAAB9BQAAAAA=&#13;&#10;" strokecolor="#6e0808 [1924]">
                <v:fill r:id="rId9" o:title="" recolor="t" rotate="t" type="tile"/>
                <v:imagedata recolortarget="#a10c0c [2820]"/>
                <v:textbox inset="4pt,4pt,4pt,4pt">
                  <w:txbxContent>
                    <w:p w14:paraId="3496377B" w14:textId="77777777" w:rsidR="001B776C" w:rsidRDefault="001B776C" w:rsidP="001B776C">
                      <w:pPr>
                        <w:pStyle w:val="tiquette"/>
                        <w:ind w:left="283"/>
                        <w:rPr>
                          <w:sz w:val="52"/>
                          <w:szCs w:val="52"/>
                        </w:rPr>
                      </w:pPr>
                      <w:r>
                        <w:rPr>
                          <w:sz w:val="52"/>
                          <w:szCs w:val="52"/>
                        </w:rPr>
                        <w:t xml:space="preserve">Focus sur les secteurs de l’hôtellerie </w:t>
                      </w:r>
                    </w:p>
                    <w:p w14:paraId="2D4C32C6" w14:textId="01DB4972" w:rsidR="001B776C" w:rsidRPr="001B776C" w:rsidRDefault="001B776C" w:rsidP="001B776C">
                      <w:pPr>
                        <w:pStyle w:val="tiquette"/>
                        <w:ind w:left="283"/>
                        <w:rPr>
                          <w:sz w:val="52"/>
                          <w:szCs w:val="52"/>
                        </w:rPr>
                      </w:pPr>
                      <w:proofErr w:type="gramStart"/>
                      <w:r>
                        <w:rPr>
                          <w:sz w:val="52"/>
                          <w:szCs w:val="52"/>
                        </w:rPr>
                        <w:t>et</w:t>
                      </w:r>
                      <w:proofErr w:type="gramEnd"/>
                      <w:r>
                        <w:rPr>
                          <w:sz w:val="52"/>
                          <w:szCs w:val="52"/>
                        </w:rPr>
                        <w:t xml:space="preserve"> de la restauration</w:t>
                      </w:r>
                    </w:p>
                  </w:txbxContent>
                </v:textbox>
                <w10:wrap type="topAndBottom" anchorx="margin" anchory="page"/>
              </v:roundrect>
            </w:pict>
          </mc:Fallback>
        </mc:AlternateContent>
      </w:r>
      <w:r w:rsidR="001B776C" w:rsidRPr="001B776C">
        <w:rPr>
          <w:rFonts w:ascii="Calibri" w:eastAsia="Times New Roman" w:hAnsi="Calibri" w:cs="Times New Roman"/>
          <w:color w:val="000000"/>
          <w:sz w:val="24"/>
          <w:szCs w:val="24"/>
          <w:shd w:val="clear" w:color="auto" w:fill="FFFFFF"/>
          <w:lang w:eastAsia="fr-FR"/>
        </w:rPr>
        <w:t>Ces entreprises sont incontestablement les plus touchées par la crise sanitaire, il apparaît donc opportun de faire un point sur les mesures qui leur sont spécialement consacrées : </w:t>
      </w:r>
    </w:p>
    <w:p w14:paraId="75D01CFF" w14:textId="234AE988" w:rsidR="001B776C" w:rsidRPr="00787A88" w:rsidRDefault="001B776C" w:rsidP="00787A88">
      <w:pPr>
        <w:pStyle w:val="Paragraphedeliste"/>
        <w:numPr>
          <w:ilvl w:val="0"/>
          <w:numId w:val="25"/>
        </w:numPr>
        <w:spacing w:after="0" w:line="240" w:lineRule="auto"/>
        <w:jc w:val="both"/>
        <w:textAlignment w:val="baseline"/>
        <w:rPr>
          <w:rFonts w:ascii="Calibri" w:eastAsia="Times New Roman" w:hAnsi="Calibri" w:cs="Times New Roman"/>
          <w:color w:val="000000"/>
          <w:sz w:val="24"/>
          <w:szCs w:val="24"/>
          <w:lang w:eastAsia="fr-FR"/>
        </w:rPr>
      </w:pPr>
      <w:r w:rsidRPr="00787A88">
        <w:rPr>
          <w:rFonts w:ascii="Calibri" w:eastAsia="Times New Roman" w:hAnsi="Calibri" w:cs="Times New Roman"/>
          <w:color w:val="000000"/>
          <w:sz w:val="24"/>
          <w:szCs w:val="24"/>
          <w:shd w:val="clear" w:color="auto" w:fill="FFFFFF"/>
          <w:lang w:eastAsia="fr-FR"/>
        </w:rPr>
        <w:t>Maintien du recours à l’activité partielle (même après réouverture) ; </w:t>
      </w:r>
    </w:p>
    <w:p w14:paraId="4BF5519B" w14:textId="251B41F0" w:rsidR="001B776C" w:rsidRPr="00787A88" w:rsidRDefault="001B776C" w:rsidP="00787A88">
      <w:pPr>
        <w:pStyle w:val="Paragraphedeliste"/>
        <w:numPr>
          <w:ilvl w:val="0"/>
          <w:numId w:val="25"/>
        </w:numPr>
        <w:spacing w:after="0" w:line="240" w:lineRule="auto"/>
        <w:jc w:val="both"/>
        <w:textAlignment w:val="baseline"/>
        <w:rPr>
          <w:rFonts w:ascii="Calibri" w:eastAsia="Times New Roman" w:hAnsi="Calibri" w:cs="Times New Roman"/>
          <w:color w:val="000000"/>
          <w:sz w:val="24"/>
          <w:szCs w:val="24"/>
          <w:lang w:eastAsia="fr-FR"/>
        </w:rPr>
      </w:pPr>
      <w:r w:rsidRPr="00787A88">
        <w:rPr>
          <w:rFonts w:ascii="Calibri" w:eastAsia="Times New Roman" w:hAnsi="Calibri" w:cs="Times New Roman"/>
          <w:color w:val="000000"/>
          <w:sz w:val="24"/>
          <w:szCs w:val="24"/>
          <w:shd w:val="clear" w:color="auto" w:fill="FFFFFF"/>
          <w:lang w:eastAsia="fr-FR"/>
        </w:rPr>
        <w:t>Prolongation du fonds de solidarité après le mois de mai ; </w:t>
      </w:r>
    </w:p>
    <w:p w14:paraId="1D48819A" w14:textId="2E0A89AF" w:rsidR="001B776C" w:rsidRPr="00787A88" w:rsidRDefault="001B776C" w:rsidP="00787A88">
      <w:pPr>
        <w:pStyle w:val="Paragraphedeliste"/>
        <w:numPr>
          <w:ilvl w:val="0"/>
          <w:numId w:val="25"/>
        </w:numPr>
        <w:spacing w:after="0" w:line="240" w:lineRule="auto"/>
        <w:jc w:val="both"/>
        <w:textAlignment w:val="baseline"/>
        <w:rPr>
          <w:rFonts w:ascii="Calibri" w:eastAsia="Times New Roman" w:hAnsi="Calibri" w:cs="Times New Roman"/>
          <w:color w:val="000000"/>
          <w:sz w:val="24"/>
          <w:szCs w:val="24"/>
          <w:lang w:eastAsia="fr-FR"/>
        </w:rPr>
      </w:pPr>
      <w:r w:rsidRPr="00787A88">
        <w:rPr>
          <w:rFonts w:ascii="Calibri" w:eastAsia="Times New Roman" w:hAnsi="Calibri" w:cs="Times New Roman"/>
          <w:color w:val="000000"/>
          <w:sz w:val="24"/>
          <w:szCs w:val="24"/>
          <w:shd w:val="clear" w:color="auto" w:fill="FFFFFF"/>
          <w:lang w:eastAsia="fr-FR"/>
        </w:rPr>
        <w:t>Exonération automatique des cotisations sociales des TPE (toutes petites entreprises) et PME (petites et moyennes entreprises) pendant la période de fermeture ; </w:t>
      </w:r>
    </w:p>
    <w:p w14:paraId="01A09FB4" w14:textId="3C1E9642" w:rsidR="001B776C" w:rsidRPr="00787A88" w:rsidRDefault="001B776C" w:rsidP="00787A88">
      <w:pPr>
        <w:pStyle w:val="Paragraphedeliste"/>
        <w:numPr>
          <w:ilvl w:val="0"/>
          <w:numId w:val="25"/>
        </w:numPr>
        <w:spacing w:after="0" w:line="240" w:lineRule="auto"/>
        <w:jc w:val="both"/>
        <w:textAlignment w:val="baseline"/>
        <w:rPr>
          <w:rFonts w:ascii="Calibri" w:eastAsia="Times New Roman" w:hAnsi="Calibri" w:cs="Times New Roman"/>
          <w:color w:val="000000"/>
          <w:sz w:val="24"/>
          <w:szCs w:val="24"/>
          <w:lang w:eastAsia="fr-FR"/>
        </w:rPr>
      </w:pPr>
      <w:r w:rsidRPr="00787A88">
        <w:rPr>
          <w:rFonts w:ascii="Calibri" w:eastAsia="Times New Roman" w:hAnsi="Calibri" w:cs="Times New Roman"/>
          <w:color w:val="000000"/>
          <w:sz w:val="24"/>
          <w:szCs w:val="24"/>
          <w:shd w:val="clear" w:color="auto" w:fill="FFFFFF"/>
          <w:lang w:eastAsia="fr-FR"/>
        </w:rPr>
        <w:t>Étalement des charges sociales et fiscales des ETI (entreprises de taille intermédiaire) ; les ETI pourront demander une annulation de leurs charges sur demande (examen au cas par cas) ; </w:t>
      </w:r>
    </w:p>
    <w:p w14:paraId="0A1B7D0F" w14:textId="77777777" w:rsidR="001B776C" w:rsidRPr="00787A88" w:rsidRDefault="001B776C" w:rsidP="00787A88">
      <w:pPr>
        <w:pStyle w:val="Paragraphedeliste"/>
        <w:numPr>
          <w:ilvl w:val="0"/>
          <w:numId w:val="25"/>
        </w:numPr>
        <w:spacing w:after="0" w:line="240" w:lineRule="auto"/>
        <w:jc w:val="both"/>
        <w:textAlignment w:val="baseline"/>
        <w:rPr>
          <w:rFonts w:ascii="Calibri" w:eastAsia="Times New Roman" w:hAnsi="Calibri" w:cs="Times New Roman"/>
          <w:color w:val="000000"/>
          <w:sz w:val="24"/>
          <w:szCs w:val="24"/>
          <w:lang w:eastAsia="fr-FR"/>
        </w:rPr>
      </w:pPr>
      <w:r w:rsidRPr="00787A88">
        <w:rPr>
          <w:rFonts w:ascii="Calibri" w:eastAsia="Times New Roman" w:hAnsi="Calibri" w:cs="Times New Roman"/>
          <w:color w:val="000000"/>
          <w:sz w:val="24"/>
          <w:szCs w:val="24"/>
          <w:shd w:val="clear" w:color="auto" w:fill="FFFFFF"/>
          <w:lang w:eastAsia="fr-FR"/>
        </w:rPr>
        <w:t>Report de la CFE (cotisation foncière des entreprises) et exonération de la part forfaitaire de la taxe de séjour due au titre de 2020 (ces mesures sont encore en discussion avec le Gouvernement) ; </w:t>
      </w:r>
    </w:p>
    <w:p w14:paraId="5B99528F" w14:textId="7C773AEA" w:rsidR="001B776C" w:rsidRPr="00787A88" w:rsidRDefault="001B776C" w:rsidP="00787A88">
      <w:pPr>
        <w:pStyle w:val="Paragraphedeliste"/>
        <w:numPr>
          <w:ilvl w:val="0"/>
          <w:numId w:val="25"/>
        </w:numPr>
        <w:spacing w:after="0" w:line="240" w:lineRule="auto"/>
        <w:jc w:val="both"/>
        <w:textAlignment w:val="baseline"/>
        <w:rPr>
          <w:rFonts w:ascii="Calibri" w:eastAsia="Times New Roman" w:hAnsi="Calibri" w:cs="Times New Roman"/>
          <w:color w:val="000000"/>
          <w:sz w:val="24"/>
          <w:szCs w:val="24"/>
          <w:lang w:eastAsia="fr-FR"/>
        </w:rPr>
      </w:pPr>
      <w:r w:rsidRPr="00787A88">
        <w:rPr>
          <w:rFonts w:ascii="Calibri" w:eastAsia="Times New Roman" w:hAnsi="Calibri" w:cs="Times New Roman"/>
          <w:color w:val="000000"/>
          <w:sz w:val="24"/>
          <w:szCs w:val="24"/>
          <w:shd w:val="clear" w:color="auto" w:fill="FFFFFF"/>
          <w:lang w:eastAsia="fr-FR"/>
        </w:rPr>
        <w:t>Annulation des loyers et redevances d’occupation du domaine public dus aux bailleurs nationaux (Etats et opérateurs) pour les TPE et PME pour la période de fermeture ; les collectivités territoriales peuvent également appliquer ce dispositif en soutien aux entreprises du secteur de l’hôtellerie et de la restauration. </w:t>
      </w:r>
    </w:p>
    <w:p w14:paraId="051C1427" w14:textId="494BCFEB" w:rsidR="001B776C" w:rsidRDefault="001B776C" w:rsidP="001B776C">
      <w:pPr>
        <w:spacing w:after="0" w:line="240" w:lineRule="auto"/>
        <w:jc w:val="both"/>
        <w:textAlignment w:val="baseline"/>
        <w:rPr>
          <w:rFonts w:ascii="Calibri" w:eastAsia="Times New Roman" w:hAnsi="Calibri" w:cs="Times New Roman"/>
          <w:color w:val="000000"/>
          <w:sz w:val="24"/>
          <w:szCs w:val="24"/>
          <w:shd w:val="clear" w:color="auto" w:fill="FFFFFF"/>
          <w:lang w:eastAsia="fr-FR"/>
        </w:rPr>
      </w:pPr>
    </w:p>
    <w:p w14:paraId="7C744D59" w14:textId="77777777" w:rsidR="000559F7" w:rsidRDefault="000559F7" w:rsidP="001B776C">
      <w:pPr>
        <w:spacing w:after="0" w:line="240" w:lineRule="auto"/>
        <w:jc w:val="both"/>
        <w:textAlignment w:val="baseline"/>
        <w:rPr>
          <w:rFonts w:ascii="Calibri" w:eastAsia="Times New Roman" w:hAnsi="Calibri" w:cs="Times New Roman"/>
          <w:color w:val="000000"/>
          <w:sz w:val="24"/>
          <w:szCs w:val="24"/>
          <w:shd w:val="clear" w:color="auto" w:fill="FFFFFF"/>
          <w:lang w:eastAsia="fr-FR"/>
        </w:rPr>
      </w:pPr>
    </w:p>
    <w:p w14:paraId="00654792" w14:textId="77777777" w:rsidR="001B2CA6" w:rsidRDefault="001B2CA6" w:rsidP="001B776C">
      <w:pPr>
        <w:spacing w:after="0" w:line="240" w:lineRule="auto"/>
        <w:jc w:val="both"/>
        <w:textAlignment w:val="baseline"/>
        <w:rPr>
          <w:rFonts w:ascii="Calibri" w:eastAsia="Times New Roman" w:hAnsi="Calibri" w:cs="Times New Roman"/>
          <w:color w:val="FF0000"/>
          <w:sz w:val="24"/>
          <w:szCs w:val="24"/>
          <w:shd w:val="clear" w:color="auto" w:fill="FFFFFF"/>
          <w:lang w:eastAsia="fr-FR"/>
        </w:rPr>
      </w:pPr>
    </w:p>
    <w:p w14:paraId="28EE01BA" w14:textId="77777777" w:rsidR="001B2CA6" w:rsidRDefault="001B2CA6" w:rsidP="001B776C">
      <w:pPr>
        <w:spacing w:after="0" w:line="240" w:lineRule="auto"/>
        <w:jc w:val="both"/>
        <w:textAlignment w:val="baseline"/>
        <w:rPr>
          <w:rFonts w:ascii="Calibri" w:eastAsia="Times New Roman" w:hAnsi="Calibri" w:cs="Times New Roman"/>
          <w:color w:val="FF0000"/>
          <w:sz w:val="24"/>
          <w:szCs w:val="24"/>
          <w:shd w:val="clear" w:color="auto" w:fill="FFFFFF"/>
          <w:lang w:eastAsia="fr-FR"/>
        </w:rPr>
      </w:pPr>
    </w:p>
    <w:p w14:paraId="1D164A87" w14:textId="77777777" w:rsidR="001B2CA6" w:rsidRDefault="001B2CA6" w:rsidP="001B776C">
      <w:pPr>
        <w:spacing w:after="0" w:line="240" w:lineRule="auto"/>
        <w:jc w:val="both"/>
        <w:textAlignment w:val="baseline"/>
        <w:rPr>
          <w:rFonts w:ascii="Calibri" w:eastAsia="Times New Roman" w:hAnsi="Calibri" w:cs="Times New Roman"/>
          <w:color w:val="FF0000"/>
          <w:sz w:val="24"/>
          <w:szCs w:val="24"/>
          <w:shd w:val="clear" w:color="auto" w:fill="FFFFFF"/>
          <w:lang w:eastAsia="fr-FR"/>
        </w:rPr>
      </w:pPr>
    </w:p>
    <w:p w14:paraId="5A0ED5AD" w14:textId="77777777" w:rsidR="001B2CA6" w:rsidRDefault="001B2CA6" w:rsidP="001B776C">
      <w:pPr>
        <w:spacing w:after="0" w:line="240" w:lineRule="auto"/>
        <w:jc w:val="both"/>
        <w:textAlignment w:val="baseline"/>
        <w:rPr>
          <w:rFonts w:ascii="Calibri" w:eastAsia="Times New Roman" w:hAnsi="Calibri" w:cs="Times New Roman"/>
          <w:color w:val="FF0000"/>
          <w:sz w:val="24"/>
          <w:szCs w:val="24"/>
          <w:shd w:val="clear" w:color="auto" w:fill="FFFFFF"/>
          <w:lang w:eastAsia="fr-FR"/>
        </w:rPr>
      </w:pPr>
    </w:p>
    <w:p w14:paraId="51A92D04" w14:textId="77777777" w:rsidR="001B2CA6" w:rsidRDefault="001B2CA6" w:rsidP="001B776C">
      <w:pPr>
        <w:spacing w:after="0" w:line="240" w:lineRule="auto"/>
        <w:jc w:val="both"/>
        <w:textAlignment w:val="baseline"/>
        <w:rPr>
          <w:rFonts w:ascii="Calibri" w:eastAsia="Times New Roman" w:hAnsi="Calibri" w:cs="Times New Roman"/>
          <w:color w:val="FF0000"/>
          <w:sz w:val="24"/>
          <w:szCs w:val="24"/>
          <w:shd w:val="clear" w:color="auto" w:fill="FFFFFF"/>
          <w:lang w:eastAsia="fr-FR"/>
        </w:rPr>
      </w:pPr>
    </w:p>
    <w:p w14:paraId="07BACCA9" w14:textId="77777777" w:rsidR="001B2CA6" w:rsidRDefault="001B2CA6" w:rsidP="001B776C">
      <w:pPr>
        <w:spacing w:after="0" w:line="240" w:lineRule="auto"/>
        <w:jc w:val="both"/>
        <w:textAlignment w:val="baseline"/>
        <w:rPr>
          <w:rFonts w:ascii="Calibri" w:eastAsia="Times New Roman" w:hAnsi="Calibri" w:cs="Times New Roman"/>
          <w:color w:val="FF0000"/>
          <w:sz w:val="24"/>
          <w:szCs w:val="24"/>
          <w:shd w:val="clear" w:color="auto" w:fill="FFFFFF"/>
          <w:lang w:eastAsia="fr-FR"/>
        </w:rPr>
      </w:pPr>
    </w:p>
    <w:p w14:paraId="4A4E2083" w14:textId="77777777" w:rsidR="001B2CA6" w:rsidRDefault="001B2CA6" w:rsidP="001B776C">
      <w:pPr>
        <w:spacing w:after="0" w:line="240" w:lineRule="auto"/>
        <w:jc w:val="both"/>
        <w:textAlignment w:val="baseline"/>
        <w:rPr>
          <w:rFonts w:ascii="Calibri" w:eastAsia="Times New Roman" w:hAnsi="Calibri" w:cs="Times New Roman"/>
          <w:color w:val="FF0000"/>
          <w:sz w:val="24"/>
          <w:szCs w:val="24"/>
          <w:shd w:val="clear" w:color="auto" w:fill="FFFFFF"/>
          <w:lang w:eastAsia="fr-FR"/>
        </w:rPr>
      </w:pPr>
    </w:p>
    <w:p w14:paraId="2E03528C" w14:textId="77777777" w:rsidR="001B2CA6" w:rsidRDefault="001B2CA6" w:rsidP="001B776C">
      <w:pPr>
        <w:spacing w:after="0" w:line="240" w:lineRule="auto"/>
        <w:jc w:val="both"/>
        <w:textAlignment w:val="baseline"/>
        <w:rPr>
          <w:rFonts w:ascii="Calibri" w:eastAsia="Times New Roman" w:hAnsi="Calibri" w:cs="Times New Roman"/>
          <w:color w:val="FF0000"/>
          <w:sz w:val="24"/>
          <w:szCs w:val="24"/>
          <w:shd w:val="clear" w:color="auto" w:fill="FFFFFF"/>
          <w:lang w:eastAsia="fr-FR"/>
        </w:rPr>
      </w:pPr>
    </w:p>
    <w:p w14:paraId="3BD02491" w14:textId="77777777" w:rsidR="001B2CA6" w:rsidRDefault="001B2CA6" w:rsidP="001B776C">
      <w:pPr>
        <w:spacing w:after="0" w:line="240" w:lineRule="auto"/>
        <w:jc w:val="both"/>
        <w:textAlignment w:val="baseline"/>
        <w:rPr>
          <w:rFonts w:ascii="Calibri" w:eastAsia="Times New Roman" w:hAnsi="Calibri" w:cs="Times New Roman"/>
          <w:color w:val="FF0000"/>
          <w:sz w:val="24"/>
          <w:szCs w:val="24"/>
          <w:shd w:val="clear" w:color="auto" w:fill="FFFFFF"/>
          <w:lang w:eastAsia="fr-FR"/>
        </w:rPr>
      </w:pPr>
    </w:p>
    <w:p w14:paraId="12A0848C" w14:textId="77777777" w:rsidR="001B2CA6" w:rsidRDefault="001B2CA6" w:rsidP="001B776C">
      <w:pPr>
        <w:spacing w:after="0" w:line="240" w:lineRule="auto"/>
        <w:jc w:val="both"/>
        <w:textAlignment w:val="baseline"/>
        <w:rPr>
          <w:rFonts w:ascii="Calibri" w:eastAsia="Times New Roman" w:hAnsi="Calibri" w:cs="Times New Roman"/>
          <w:color w:val="FF0000"/>
          <w:sz w:val="24"/>
          <w:szCs w:val="24"/>
          <w:shd w:val="clear" w:color="auto" w:fill="FFFFFF"/>
          <w:lang w:eastAsia="fr-FR"/>
        </w:rPr>
      </w:pPr>
    </w:p>
    <w:p w14:paraId="139A0F6F" w14:textId="77777777" w:rsidR="001B2CA6" w:rsidRDefault="001B2CA6" w:rsidP="001B776C">
      <w:pPr>
        <w:spacing w:after="0" w:line="240" w:lineRule="auto"/>
        <w:jc w:val="both"/>
        <w:textAlignment w:val="baseline"/>
        <w:rPr>
          <w:rFonts w:ascii="Calibri" w:eastAsia="Times New Roman" w:hAnsi="Calibri" w:cs="Times New Roman"/>
          <w:color w:val="FF0000"/>
          <w:sz w:val="24"/>
          <w:szCs w:val="24"/>
          <w:shd w:val="clear" w:color="auto" w:fill="FFFFFF"/>
          <w:lang w:eastAsia="fr-FR"/>
        </w:rPr>
      </w:pPr>
    </w:p>
    <w:p w14:paraId="23E15679" w14:textId="77777777" w:rsidR="001B2CA6" w:rsidRDefault="001B2CA6" w:rsidP="001B776C">
      <w:pPr>
        <w:spacing w:after="0" w:line="240" w:lineRule="auto"/>
        <w:jc w:val="both"/>
        <w:textAlignment w:val="baseline"/>
        <w:rPr>
          <w:rFonts w:ascii="Calibri" w:eastAsia="Times New Roman" w:hAnsi="Calibri" w:cs="Times New Roman"/>
          <w:color w:val="FF0000"/>
          <w:sz w:val="24"/>
          <w:szCs w:val="24"/>
          <w:shd w:val="clear" w:color="auto" w:fill="FFFFFF"/>
          <w:lang w:eastAsia="fr-FR"/>
        </w:rPr>
      </w:pPr>
    </w:p>
    <w:p w14:paraId="3B595AFF" w14:textId="77777777" w:rsidR="001B2CA6" w:rsidRDefault="001B2CA6" w:rsidP="001B776C">
      <w:pPr>
        <w:spacing w:after="0" w:line="240" w:lineRule="auto"/>
        <w:jc w:val="both"/>
        <w:textAlignment w:val="baseline"/>
        <w:rPr>
          <w:rFonts w:ascii="Calibri" w:eastAsia="Times New Roman" w:hAnsi="Calibri" w:cs="Times New Roman"/>
          <w:color w:val="FF0000"/>
          <w:sz w:val="24"/>
          <w:szCs w:val="24"/>
          <w:shd w:val="clear" w:color="auto" w:fill="FFFFFF"/>
          <w:lang w:eastAsia="fr-FR"/>
        </w:rPr>
      </w:pPr>
    </w:p>
    <w:p w14:paraId="479454C5" w14:textId="77777777" w:rsidR="001B2CA6" w:rsidRDefault="001B2CA6" w:rsidP="001B776C">
      <w:pPr>
        <w:spacing w:after="0" w:line="240" w:lineRule="auto"/>
        <w:jc w:val="both"/>
        <w:textAlignment w:val="baseline"/>
        <w:rPr>
          <w:rFonts w:ascii="Calibri" w:eastAsia="Times New Roman" w:hAnsi="Calibri" w:cs="Times New Roman"/>
          <w:color w:val="FF0000"/>
          <w:sz w:val="24"/>
          <w:szCs w:val="24"/>
          <w:shd w:val="clear" w:color="auto" w:fill="FFFFFF"/>
          <w:lang w:eastAsia="fr-FR"/>
        </w:rPr>
      </w:pPr>
    </w:p>
    <w:p w14:paraId="22F876C5" w14:textId="77777777" w:rsidR="001B2CA6" w:rsidRDefault="001B2CA6" w:rsidP="001B776C">
      <w:pPr>
        <w:spacing w:after="0" w:line="240" w:lineRule="auto"/>
        <w:jc w:val="both"/>
        <w:textAlignment w:val="baseline"/>
        <w:rPr>
          <w:rFonts w:ascii="Calibri" w:eastAsia="Times New Roman" w:hAnsi="Calibri" w:cs="Times New Roman"/>
          <w:color w:val="FF0000"/>
          <w:sz w:val="24"/>
          <w:szCs w:val="24"/>
          <w:shd w:val="clear" w:color="auto" w:fill="FFFFFF"/>
          <w:lang w:eastAsia="fr-FR"/>
        </w:rPr>
      </w:pPr>
    </w:p>
    <w:p w14:paraId="2D1C0683" w14:textId="77777777" w:rsidR="001B2CA6" w:rsidRDefault="001B2CA6" w:rsidP="001B776C">
      <w:pPr>
        <w:spacing w:after="0" w:line="240" w:lineRule="auto"/>
        <w:jc w:val="both"/>
        <w:textAlignment w:val="baseline"/>
        <w:rPr>
          <w:rFonts w:ascii="Calibri" w:eastAsia="Times New Roman" w:hAnsi="Calibri" w:cs="Times New Roman"/>
          <w:color w:val="FF0000"/>
          <w:sz w:val="24"/>
          <w:szCs w:val="24"/>
          <w:shd w:val="clear" w:color="auto" w:fill="FFFFFF"/>
          <w:lang w:eastAsia="fr-FR"/>
        </w:rPr>
      </w:pPr>
    </w:p>
    <w:p w14:paraId="5CF9B9E0" w14:textId="77777777" w:rsidR="001B2CA6" w:rsidRDefault="001B2CA6" w:rsidP="001B776C">
      <w:pPr>
        <w:spacing w:after="0" w:line="240" w:lineRule="auto"/>
        <w:jc w:val="both"/>
        <w:textAlignment w:val="baseline"/>
        <w:rPr>
          <w:rFonts w:ascii="Calibri" w:eastAsia="Times New Roman" w:hAnsi="Calibri" w:cs="Times New Roman"/>
          <w:color w:val="FF0000"/>
          <w:sz w:val="24"/>
          <w:szCs w:val="24"/>
          <w:shd w:val="clear" w:color="auto" w:fill="FFFFFF"/>
          <w:lang w:eastAsia="fr-FR"/>
        </w:rPr>
      </w:pPr>
    </w:p>
    <w:p w14:paraId="4380EF65" w14:textId="77777777" w:rsidR="001B2CA6" w:rsidRDefault="001B2CA6" w:rsidP="001B776C">
      <w:pPr>
        <w:spacing w:after="0" w:line="240" w:lineRule="auto"/>
        <w:jc w:val="both"/>
        <w:textAlignment w:val="baseline"/>
        <w:rPr>
          <w:rFonts w:ascii="Calibri" w:eastAsia="Times New Roman" w:hAnsi="Calibri" w:cs="Times New Roman"/>
          <w:color w:val="FF0000"/>
          <w:sz w:val="24"/>
          <w:szCs w:val="24"/>
          <w:shd w:val="clear" w:color="auto" w:fill="FFFFFF"/>
          <w:lang w:eastAsia="fr-FR"/>
        </w:rPr>
      </w:pPr>
    </w:p>
    <w:p w14:paraId="1C14F515" w14:textId="77777777" w:rsidR="001B2CA6" w:rsidRDefault="001B2CA6" w:rsidP="001B776C">
      <w:pPr>
        <w:spacing w:after="0" w:line="240" w:lineRule="auto"/>
        <w:jc w:val="both"/>
        <w:textAlignment w:val="baseline"/>
        <w:rPr>
          <w:rFonts w:ascii="Calibri" w:eastAsia="Times New Roman" w:hAnsi="Calibri" w:cs="Times New Roman"/>
          <w:color w:val="FF0000"/>
          <w:sz w:val="24"/>
          <w:szCs w:val="24"/>
          <w:shd w:val="clear" w:color="auto" w:fill="FFFFFF"/>
          <w:lang w:eastAsia="fr-FR"/>
        </w:rPr>
      </w:pPr>
    </w:p>
    <w:p w14:paraId="1CF331BD" w14:textId="77777777" w:rsidR="001B2CA6" w:rsidRDefault="001B2CA6" w:rsidP="001B776C">
      <w:pPr>
        <w:spacing w:after="0" w:line="240" w:lineRule="auto"/>
        <w:jc w:val="both"/>
        <w:textAlignment w:val="baseline"/>
        <w:rPr>
          <w:rFonts w:ascii="Calibri" w:eastAsia="Times New Roman" w:hAnsi="Calibri" w:cs="Times New Roman"/>
          <w:color w:val="FF0000"/>
          <w:sz w:val="24"/>
          <w:szCs w:val="24"/>
          <w:shd w:val="clear" w:color="auto" w:fill="FFFFFF"/>
          <w:lang w:eastAsia="fr-FR"/>
        </w:rPr>
      </w:pPr>
    </w:p>
    <w:p w14:paraId="6699A4C3" w14:textId="77777777" w:rsidR="001B2CA6" w:rsidRDefault="001B2CA6" w:rsidP="001B776C">
      <w:pPr>
        <w:spacing w:after="0" w:line="240" w:lineRule="auto"/>
        <w:jc w:val="both"/>
        <w:textAlignment w:val="baseline"/>
        <w:rPr>
          <w:rFonts w:ascii="Calibri" w:eastAsia="Times New Roman" w:hAnsi="Calibri" w:cs="Times New Roman"/>
          <w:color w:val="FF0000"/>
          <w:sz w:val="24"/>
          <w:szCs w:val="24"/>
          <w:shd w:val="clear" w:color="auto" w:fill="FFFFFF"/>
          <w:lang w:eastAsia="fr-FR"/>
        </w:rPr>
      </w:pPr>
    </w:p>
    <w:p w14:paraId="345E545B" w14:textId="77777777" w:rsidR="00787A88" w:rsidRDefault="00787A88" w:rsidP="001B776C">
      <w:pPr>
        <w:spacing w:after="0" w:line="240" w:lineRule="auto"/>
        <w:jc w:val="both"/>
        <w:textAlignment w:val="baseline"/>
        <w:rPr>
          <w:rFonts w:ascii="Calibri" w:eastAsia="Times New Roman" w:hAnsi="Calibri" w:cs="Times New Roman"/>
          <w:color w:val="FF0000"/>
          <w:sz w:val="24"/>
          <w:szCs w:val="24"/>
          <w:shd w:val="clear" w:color="auto" w:fill="FFFFFF"/>
          <w:lang w:eastAsia="fr-FR"/>
        </w:rPr>
      </w:pPr>
    </w:p>
    <w:p w14:paraId="63EBF7BF" w14:textId="77777777" w:rsidR="00C87B1A" w:rsidRDefault="00C87B1A" w:rsidP="001B776C">
      <w:pPr>
        <w:spacing w:after="0" w:line="240" w:lineRule="auto"/>
        <w:jc w:val="both"/>
        <w:textAlignment w:val="baseline"/>
        <w:rPr>
          <w:rFonts w:ascii="Calibri" w:eastAsia="Times New Roman" w:hAnsi="Calibri" w:cs="Times New Roman"/>
          <w:color w:val="FF0000"/>
          <w:sz w:val="24"/>
          <w:szCs w:val="24"/>
          <w:shd w:val="clear" w:color="auto" w:fill="FFFFFF"/>
          <w:lang w:eastAsia="fr-FR"/>
        </w:rPr>
      </w:pPr>
    </w:p>
    <w:p w14:paraId="189ECE7D" w14:textId="77777777" w:rsidR="00C87B1A" w:rsidRDefault="00C87B1A" w:rsidP="001B776C">
      <w:pPr>
        <w:spacing w:after="0" w:line="240" w:lineRule="auto"/>
        <w:jc w:val="both"/>
        <w:textAlignment w:val="baseline"/>
        <w:rPr>
          <w:rFonts w:ascii="Calibri" w:eastAsia="Times New Roman" w:hAnsi="Calibri" w:cs="Times New Roman"/>
          <w:color w:val="FF0000"/>
          <w:sz w:val="24"/>
          <w:szCs w:val="24"/>
          <w:shd w:val="clear" w:color="auto" w:fill="FFFFFF"/>
          <w:lang w:eastAsia="fr-FR"/>
        </w:rPr>
      </w:pPr>
    </w:p>
    <w:p w14:paraId="1C401BA9" w14:textId="77777777" w:rsidR="006D6917" w:rsidRDefault="006D6917" w:rsidP="001B776C">
      <w:pPr>
        <w:spacing w:after="0" w:line="240" w:lineRule="auto"/>
        <w:jc w:val="both"/>
        <w:textAlignment w:val="baseline"/>
        <w:rPr>
          <w:rFonts w:ascii="Calibri" w:eastAsia="Times New Roman" w:hAnsi="Calibri" w:cs="Times New Roman"/>
          <w:color w:val="FF0000"/>
          <w:sz w:val="24"/>
          <w:szCs w:val="24"/>
          <w:shd w:val="clear" w:color="auto" w:fill="FFFFFF"/>
          <w:lang w:eastAsia="fr-FR"/>
        </w:rPr>
      </w:pPr>
    </w:p>
    <w:p w14:paraId="4A505B09" w14:textId="668876BD" w:rsidR="001B776C" w:rsidRPr="001B776C" w:rsidRDefault="001B776C" w:rsidP="001B776C">
      <w:pPr>
        <w:spacing w:after="0" w:line="240" w:lineRule="auto"/>
        <w:jc w:val="both"/>
        <w:textAlignment w:val="baseline"/>
        <w:rPr>
          <w:rFonts w:ascii="Calibri" w:eastAsia="Times New Roman" w:hAnsi="Calibri" w:cs="Times New Roman"/>
          <w:color w:val="FF0000"/>
          <w:sz w:val="24"/>
          <w:szCs w:val="24"/>
          <w:shd w:val="clear" w:color="auto" w:fill="FFFFFF"/>
          <w:lang w:eastAsia="fr-FR"/>
        </w:rPr>
      </w:pPr>
      <w:r w:rsidRPr="001B776C">
        <w:rPr>
          <w:rFonts w:ascii="Calibri" w:eastAsia="Times New Roman" w:hAnsi="Calibri" w:cs="Times New Roman"/>
          <w:color w:val="FF0000"/>
          <w:sz w:val="24"/>
          <w:szCs w:val="24"/>
          <w:shd w:val="clear" w:color="auto" w:fill="FFFFFF"/>
          <w:lang w:eastAsia="fr-FR"/>
        </w:rPr>
        <w:t xml:space="preserve">Sources : </w:t>
      </w:r>
    </w:p>
    <w:p w14:paraId="4CB02A13" w14:textId="77777777" w:rsidR="001B776C" w:rsidRDefault="001B776C" w:rsidP="001B776C">
      <w:pPr>
        <w:spacing w:after="0" w:line="240" w:lineRule="auto"/>
        <w:jc w:val="both"/>
        <w:textAlignment w:val="baseline"/>
        <w:rPr>
          <w:rFonts w:ascii="Calibri" w:eastAsia="Times New Roman" w:hAnsi="Calibri" w:cs="Times New Roman"/>
          <w:color w:val="000000"/>
          <w:sz w:val="24"/>
          <w:szCs w:val="24"/>
          <w:shd w:val="clear" w:color="auto" w:fill="FFFFFF"/>
          <w:lang w:eastAsia="fr-FR"/>
        </w:rPr>
      </w:pPr>
    </w:p>
    <w:p w14:paraId="68A807C3" w14:textId="23975BC4" w:rsidR="001B776C" w:rsidRPr="001B776C" w:rsidRDefault="00D404AB" w:rsidP="004F5685">
      <w:pPr>
        <w:pStyle w:val="Paragraphedeliste"/>
        <w:numPr>
          <w:ilvl w:val="0"/>
          <w:numId w:val="14"/>
        </w:numPr>
        <w:spacing w:after="0" w:line="240" w:lineRule="auto"/>
        <w:jc w:val="both"/>
        <w:textAlignment w:val="baseline"/>
        <w:rPr>
          <w:rFonts w:ascii="Calibri" w:eastAsia="Times New Roman" w:hAnsi="Calibri" w:cs="Times New Roman"/>
          <w:color w:val="000000"/>
          <w:sz w:val="24"/>
          <w:szCs w:val="24"/>
          <w:shd w:val="clear" w:color="auto" w:fill="FFFFFF"/>
          <w:lang w:eastAsia="fr-FR"/>
        </w:rPr>
      </w:pPr>
      <w:hyperlink r:id="rId12" w:history="1">
        <w:r w:rsidR="001B776C" w:rsidRPr="001B776C">
          <w:rPr>
            <w:rStyle w:val="Lienhypertexte"/>
            <w:rFonts w:ascii="Calibri" w:hAnsi="Calibri"/>
            <w:shd w:val="clear" w:color="auto" w:fill="FFFFFF"/>
          </w:rPr>
          <w:t>https://www.franceinter.fr/les-defaillances-d-entreprises-au-plus-bas-mais-jusqu-a-quand</w:t>
        </w:r>
      </w:hyperlink>
    </w:p>
    <w:p w14:paraId="212DFB00" w14:textId="77777777" w:rsidR="001B776C" w:rsidRPr="001B776C" w:rsidRDefault="001B776C" w:rsidP="004F5685">
      <w:pPr>
        <w:pStyle w:val="Paragraphedeliste"/>
        <w:numPr>
          <w:ilvl w:val="0"/>
          <w:numId w:val="14"/>
        </w:numPr>
        <w:spacing w:after="0" w:line="240" w:lineRule="auto"/>
        <w:jc w:val="both"/>
        <w:textAlignment w:val="baseline"/>
        <w:rPr>
          <w:rFonts w:ascii="Calibri" w:hAnsi="Calibri"/>
          <w:color w:val="000000"/>
          <w:shd w:val="clear" w:color="auto" w:fill="FFFFFF"/>
        </w:rPr>
      </w:pPr>
      <w:r w:rsidRPr="001B776C">
        <w:rPr>
          <w:rFonts w:ascii="Calibri" w:hAnsi="Calibri"/>
          <w:color w:val="000000"/>
          <w:shd w:val="clear" w:color="auto" w:fill="FFFFFF"/>
        </w:rPr>
        <w:t>INSEE, note de conjoncture, mars 2021, « un an après … » </w:t>
      </w:r>
    </w:p>
    <w:p w14:paraId="22C036D2" w14:textId="77777777" w:rsidR="001B776C" w:rsidRPr="001B776C" w:rsidRDefault="00D404AB" w:rsidP="004F5685">
      <w:pPr>
        <w:pStyle w:val="Paragraphedeliste"/>
        <w:numPr>
          <w:ilvl w:val="0"/>
          <w:numId w:val="14"/>
        </w:numPr>
        <w:spacing w:after="0" w:line="240" w:lineRule="auto"/>
        <w:jc w:val="both"/>
        <w:textAlignment w:val="baseline"/>
        <w:rPr>
          <w:rFonts w:ascii="Calibri" w:hAnsi="Calibri"/>
          <w:color w:val="000000"/>
          <w:shd w:val="clear" w:color="auto" w:fill="FFFFFF"/>
        </w:rPr>
      </w:pPr>
      <w:hyperlink r:id="rId13" w:history="1">
        <w:r w:rsidR="001B776C" w:rsidRPr="001B776C">
          <w:rPr>
            <w:rStyle w:val="Lienhypertexte"/>
            <w:rFonts w:ascii="Calibri" w:hAnsi="Calibri"/>
            <w:shd w:val="clear" w:color="auto" w:fill="FFFFFF"/>
          </w:rPr>
          <w:t>https://www.insee.fr/fr/statistiques/5016913</w:t>
        </w:r>
      </w:hyperlink>
    </w:p>
    <w:p w14:paraId="4330ADAB" w14:textId="77777777" w:rsidR="001B776C" w:rsidRPr="001B776C" w:rsidRDefault="00D404AB" w:rsidP="004F5685">
      <w:pPr>
        <w:pStyle w:val="Paragraphedeliste"/>
        <w:numPr>
          <w:ilvl w:val="0"/>
          <w:numId w:val="14"/>
        </w:numPr>
        <w:spacing w:after="0" w:line="240" w:lineRule="auto"/>
        <w:jc w:val="both"/>
        <w:textAlignment w:val="baseline"/>
        <w:rPr>
          <w:rFonts w:ascii="Calibri" w:hAnsi="Calibri"/>
          <w:color w:val="000000"/>
          <w:shd w:val="clear" w:color="auto" w:fill="FFFFFF"/>
        </w:rPr>
      </w:pPr>
      <w:hyperlink r:id="rId14" w:history="1">
        <w:r w:rsidR="001B776C" w:rsidRPr="001B776C">
          <w:rPr>
            <w:rStyle w:val="Lienhypertexte"/>
            <w:rFonts w:ascii="Calibri" w:hAnsi="Calibri"/>
            <w:shd w:val="clear" w:color="auto" w:fill="FFFFFF"/>
          </w:rPr>
          <w:t>https://www.insee.fr/fr/statistiques/5231007</w:t>
        </w:r>
      </w:hyperlink>
    </w:p>
    <w:p w14:paraId="4814266D" w14:textId="2B77DD3B" w:rsidR="001B776C" w:rsidRDefault="001B776C" w:rsidP="004F5685">
      <w:pPr>
        <w:pStyle w:val="Paragraphedeliste"/>
        <w:numPr>
          <w:ilvl w:val="0"/>
          <w:numId w:val="14"/>
        </w:numPr>
        <w:spacing w:after="0" w:line="240" w:lineRule="auto"/>
        <w:jc w:val="both"/>
        <w:textAlignment w:val="baseline"/>
        <w:rPr>
          <w:rFonts w:ascii="Calibri" w:hAnsi="Calibri"/>
          <w:color w:val="000000"/>
          <w:shd w:val="clear" w:color="auto" w:fill="FFFFFF"/>
        </w:rPr>
      </w:pPr>
      <w:r w:rsidRPr="001B776C">
        <w:rPr>
          <w:rFonts w:ascii="Calibri" w:hAnsi="Calibri"/>
          <w:color w:val="000000"/>
          <w:shd w:val="clear" w:color="auto" w:fill="FFFFFF"/>
        </w:rPr>
        <w:t>Rapport du Comité de suivi des mesures de soutien aux entreprises, statistiques de recours aux dispositifs de mars à septembre 2020 </w:t>
      </w:r>
    </w:p>
    <w:p w14:paraId="306ED782" w14:textId="1B3B84FD" w:rsidR="009175BD" w:rsidRDefault="00D404AB" w:rsidP="004F5685">
      <w:pPr>
        <w:pStyle w:val="Paragraphedeliste"/>
        <w:numPr>
          <w:ilvl w:val="0"/>
          <w:numId w:val="14"/>
        </w:numPr>
        <w:spacing w:after="0" w:line="240" w:lineRule="auto"/>
        <w:jc w:val="both"/>
        <w:textAlignment w:val="baseline"/>
        <w:rPr>
          <w:rFonts w:ascii="Calibri" w:hAnsi="Calibri"/>
          <w:color w:val="000000"/>
          <w:shd w:val="clear" w:color="auto" w:fill="FFFFFF"/>
        </w:rPr>
      </w:pPr>
      <w:hyperlink r:id="rId15" w:history="1">
        <w:r w:rsidR="009175BD" w:rsidRPr="00EC59CF">
          <w:rPr>
            <w:rStyle w:val="Lienhypertexte"/>
            <w:rFonts w:ascii="Calibri" w:hAnsi="Calibri"/>
            <w:shd w:val="clear" w:color="auto" w:fill="FFFFFF"/>
          </w:rPr>
          <w:t>https://www.legifrance.gouv.fr/jorf/id/JORFTEXT000043344793</w:t>
        </w:r>
      </w:hyperlink>
      <w:r w:rsidR="009175BD">
        <w:rPr>
          <w:rFonts w:ascii="Calibri" w:hAnsi="Calibri"/>
          <w:color w:val="000000"/>
          <w:shd w:val="clear" w:color="auto" w:fill="FFFFFF"/>
        </w:rPr>
        <w:t xml:space="preserve"> </w:t>
      </w:r>
    </w:p>
    <w:p w14:paraId="3E68A1E0" w14:textId="155FEDEF" w:rsidR="003D6C27" w:rsidRPr="001B776C" w:rsidRDefault="00D404AB" w:rsidP="004F5685">
      <w:pPr>
        <w:pStyle w:val="Paragraphedeliste"/>
        <w:numPr>
          <w:ilvl w:val="0"/>
          <w:numId w:val="14"/>
        </w:numPr>
        <w:spacing w:after="0" w:line="240" w:lineRule="auto"/>
        <w:jc w:val="both"/>
        <w:textAlignment w:val="baseline"/>
        <w:rPr>
          <w:rFonts w:ascii="Calibri" w:hAnsi="Calibri"/>
          <w:color w:val="000000"/>
          <w:shd w:val="clear" w:color="auto" w:fill="FFFFFF"/>
        </w:rPr>
      </w:pPr>
      <w:hyperlink r:id="rId16" w:history="1">
        <w:r w:rsidR="003D6C27" w:rsidRPr="00EC59CF">
          <w:rPr>
            <w:rStyle w:val="Lienhypertexte"/>
            <w:rFonts w:ascii="Calibri" w:hAnsi="Calibri"/>
            <w:shd w:val="clear" w:color="auto" w:fill="FFFFFF"/>
          </w:rPr>
          <w:t>https://www.journaldunet.com/management/guide-du-management/1494521-fonds-de-solidarite-2021-le-formulaire-pour-mars-en-ligne-ce-20-avril/</w:t>
        </w:r>
      </w:hyperlink>
      <w:r w:rsidR="003D6C27">
        <w:rPr>
          <w:rFonts w:ascii="Calibri" w:hAnsi="Calibri"/>
          <w:color w:val="000000"/>
          <w:shd w:val="clear" w:color="auto" w:fill="FFFFFF"/>
        </w:rPr>
        <w:t xml:space="preserve"> </w:t>
      </w:r>
    </w:p>
    <w:p w14:paraId="72C92808" w14:textId="77777777" w:rsidR="001B776C" w:rsidRPr="001B776C" w:rsidRDefault="00D404AB" w:rsidP="004F5685">
      <w:pPr>
        <w:pStyle w:val="Paragraphedeliste"/>
        <w:numPr>
          <w:ilvl w:val="0"/>
          <w:numId w:val="14"/>
        </w:numPr>
        <w:spacing w:after="0" w:line="240" w:lineRule="auto"/>
        <w:jc w:val="both"/>
        <w:textAlignment w:val="baseline"/>
        <w:rPr>
          <w:rFonts w:ascii="Calibri" w:hAnsi="Calibri"/>
          <w:color w:val="000000"/>
          <w:shd w:val="clear" w:color="auto" w:fill="FFFFFF"/>
        </w:rPr>
      </w:pPr>
      <w:hyperlink r:id="rId17" w:history="1">
        <w:r w:rsidR="001B776C" w:rsidRPr="001B776C">
          <w:rPr>
            <w:rStyle w:val="Lienhypertexte"/>
            <w:rFonts w:ascii="Calibri" w:hAnsi="Calibri"/>
            <w:shd w:val="clear" w:color="auto" w:fill="FFFFFF"/>
          </w:rPr>
          <w:t>https://www.economie.gouv.fr/covid19-soutien-entreprises/pret-garanti-par-letat</w:t>
        </w:r>
      </w:hyperlink>
    </w:p>
    <w:p w14:paraId="18F963EE" w14:textId="77777777" w:rsidR="001B776C" w:rsidRPr="001B776C" w:rsidRDefault="00D404AB" w:rsidP="004F5685">
      <w:pPr>
        <w:pStyle w:val="Paragraphedeliste"/>
        <w:numPr>
          <w:ilvl w:val="0"/>
          <w:numId w:val="14"/>
        </w:numPr>
        <w:spacing w:after="0" w:line="240" w:lineRule="auto"/>
        <w:jc w:val="both"/>
        <w:textAlignment w:val="baseline"/>
        <w:rPr>
          <w:rFonts w:ascii="Calibri" w:hAnsi="Calibri"/>
          <w:color w:val="000000"/>
          <w:shd w:val="clear" w:color="auto" w:fill="FFFFFF"/>
        </w:rPr>
      </w:pPr>
      <w:hyperlink r:id="rId18" w:history="1">
        <w:r w:rsidR="001B776C" w:rsidRPr="001B776C">
          <w:rPr>
            <w:rStyle w:val="Lienhypertexte"/>
            <w:rFonts w:ascii="Calibri" w:hAnsi="Calibri"/>
            <w:shd w:val="clear" w:color="auto" w:fill="FFFFFF"/>
          </w:rPr>
          <w:t>https://www.service-public.fr/particuliers/actualites/A14562</w:t>
        </w:r>
      </w:hyperlink>
    </w:p>
    <w:p w14:paraId="6C817F8F" w14:textId="77777777" w:rsidR="001B776C" w:rsidRPr="001B776C" w:rsidRDefault="00D404AB" w:rsidP="004F5685">
      <w:pPr>
        <w:pStyle w:val="Paragraphedeliste"/>
        <w:numPr>
          <w:ilvl w:val="0"/>
          <w:numId w:val="14"/>
        </w:numPr>
        <w:spacing w:after="0" w:line="240" w:lineRule="auto"/>
        <w:jc w:val="both"/>
        <w:textAlignment w:val="baseline"/>
        <w:rPr>
          <w:rFonts w:ascii="Calibri" w:hAnsi="Calibri"/>
          <w:color w:val="000000"/>
          <w:shd w:val="clear" w:color="auto" w:fill="FFFFFF"/>
        </w:rPr>
      </w:pPr>
      <w:hyperlink r:id="rId19" w:history="1">
        <w:r w:rsidR="001B776C" w:rsidRPr="001B776C">
          <w:rPr>
            <w:rStyle w:val="Lienhypertexte"/>
            <w:rFonts w:ascii="Calibri" w:hAnsi="Calibri"/>
            <w:shd w:val="clear" w:color="auto" w:fill="FFFFFF"/>
          </w:rPr>
          <w:t>https://www.economie.gouv.fr/covid19-soutien-entreprises/delais-de-paiement-decheances-sociales-et-ou-fiscales-urssaf</w:t>
        </w:r>
      </w:hyperlink>
    </w:p>
    <w:p w14:paraId="7BFD1B8F" w14:textId="77777777" w:rsidR="001B776C" w:rsidRPr="001B776C" w:rsidRDefault="00D404AB" w:rsidP="004F5685">
      <w:pPr>
        <w:pStyle w:val="Paragraphedeliste"/>
        <w:numPr>
          <w:ilvl w:val="0"/>
          <w:numId w:val="14"/>
        </w:numPr>
        <w:spacing w:after="0" w:line="240" w:lineRule="auto"/>
        <w:jc w:val="both"/>
        <w:textAlignment w:val="baseline"/>
        <w:rPr>
          <w:rFonts w:ascii="Calibri" w:eastAsia="Times New Roman" w:hAnsi="Calibri" w:cs="Times New Roman"/>
          <w:color w:val="000000"/>
          <w:sz w:val="24"/>
          <w:szCs w:val="24"/>
          <w:lang w:eastAsia="fr-FR"/>
        </w:rPr>
      </w:pPr>
      <w:hyperlink r:id="rId20" w:history="1">
        <w:r w:rsidR="001B776C" w:rsidRPr="001B776C">
          <w:rPr>
            <w:rStyle w:val="Lienhypertexte"/>
            <w:rFonts w:ascii="Calibri" w:hAnsi="Calibri"/>
            <w:shd w:val="clear" w:color="auto" w:fill="FFFFFF"/>
          </w:rPr>
          <w:t>https://business.lesechos.fr/entrepreneurs/ressources-humaines/17180706-un-report-des-cotisations-sociales-dues-en-mars-342475.php</w:t>
        </w:r>
      </w:hyperlink>
    </w:p>
    <w:p w14:paraId="2A13D1F7" w14:textId="778B615B" w:rsidR="001B776C" w:rsidRPr="001B776C" w:rsidRDefault="00D404AB" w:rsidP="004F5685">
      <w:pPr>
        <w:pStyle w:val="Paragraphedeliste"/>
        <w:numPr>
          <w:ilvl w:val="0"/>
          <w:numId w:val="14"/>
        </w:numPr>
        <w:spacing w:after="0" w:line="240" w:lineRule="auto"/>
        <w:jc w:val="both"/>
        <w:textAlignment w:val="baseline"/>
        <w:rPr>
          <w:rFonts w:ascii="Calibri" w:eastAsia="Times New Roman" w:hAnsi="Calibri" w:cs="Times New Roman"/>
          <w:color w:val="000000"/>
          <w:sz w:val="24"/>
          <w:szCs w:val="24"/>
          <w:lang w:eastAsia="fr-FR"/>
        </w:rPr>
      </w:pPr>
      <w:hyperlink r:id="rId21" w:history="1">
        <w:r w:rsidR="001B776C" w:rsidRPr="001B776C">
          <w:rPr>
            <w:rStyle w:val="Lienhypertexte"/>
            <w:rFonts w:ascii="Calibri" w:hAnsi="Calibri"/>
            <w:shd w:val="clear" w:color="auto" w:fill="FFFFFF"/>
          </w:rPr>
          <w:t>https://www.lesechos-etudes.fr/news/2020/04/28/de-nouvelles-mesures-en-faveur-du-secteur-de-lhotellerie-et-de-la-restauration/</w:t>
        </w:r>
      </w:hyperlink>
      <w:r w:rsidR="001B776C" w:rsidRPr="001B776C">
        <w:rPr>
          <w:rFonts w:ascii="Calibri" w:hAnsi="Calibri"/>
          <w:color w:val="000000"/>
          <w:shd w:val="clear" w:color="auto" w:fill="FFFFFF"/>
        </w:rPr>
        <w:t> </w:t>
      </w:r>
    </w:p>
    <w:p w14:paraId="3922E701" w14:textId="3D1165FA" w:rsidR="001B776C" w:rsidRDefault="001B776C" w:rsidP="001B776C">
      <w:pPr>
        <w:spacing w:after="0" w:line="240" w:lineRule="auto"/>
        <w:jc w:val="both"/>
        <w:textAlignment w:val="baseline"/>
        <w:rPr>
          <w:rFonts w:ascii="Calibri" w:eastAsia="Times New Roman" w:hAnsi="Calibri" w:cs="Times New Roman"/>
          <w:color w:val="000000"/>
          <w:sz w:val="24"/>
          <w:szCs w:val="24"/>
          <w:lang w:eastAsia="fr-FR"/>
        </w:rPr>
      </w:pPr>
    </w:p>
    <w:p w14:paraId="181ECFB8" w14:textId="3BA1F9B1" w:rsidR="000621F0" w:rsidRPr="000621F0" w:rsidRDefault="000621F0" w:rsidP="009B3B2E">
      <w:pPr>
        <w:spacing w:after="0" w:line="240" w:lineRule="auto"/>
        <w:jc w:val="both"/>
        <w:rPr>
          <w:rFonts w:ascii="Times New Roman" w:eastAsia="Times New Roman" w:hAnsi="Times New Roman" w:cs="Times New Roman"/>
          <w:color w:val="000000"/>
          <w:sz w:val="24"/>
          <w:szCs w:val="24"/>
          <w:lang w:eastAsia="fr-FR"/>
        </w:rPr>
      </w:pPr>
    </w:p>
    <w:sectPr w:rsidR="000621F0" w:rsidRPr="000621F0" w:rsidSect="00D92BA5">
      <w:headerReference w:type="default" r:id="rId22"/>
      <w:footerReference w:type="even" r:id="rId23"/>
      <w:footerReference w:type="default" r:id="rId24"/>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15EFC9" w14:textId="77777777" w:rsidR="00D404AB" w:rsidRDefault="00D404AB" w:rsidP="0081793B">
      <w:pPr>
        <w:spacing w:after="0" w:line="240" w:lineRule="auto"/>
      </w:pPr>
      <w:r>
        <w:separator/>
      </w:r>
    </w:p>
  </w:endnote>
  <w:endnote w:type="continuationSeparator" w:id="0">
    <w:p w14:paraId="4285F652" w14:textId="77777777" w:rsidR="00D404AB" w:rsidRDefault="00D404AB" w:rsidP="00817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Impact">
    <w:altName w:val="Impact"/>
    <w:panose1 w:val="020B080603090205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Futura Medium">
    <w:altName w:val="FUTURA MEDIUM"/>
    <w:panose1 w:val="020B0602020204020303"/>
    <w:charset w:val="B1"/>
    <w:family w:val="swiss"/>
    <w:pitch w:val="variable"/>
    <w:sig w:usb0="80000867" w:usb1="00000000" w:usb2="00000000" w:usb3="00000000" w:csb0="000001FB" w:csb1="00000000"/>
  </w:font>
  <w:font w:name="Baskerville">
    <w:altName w:val="Baskerville"/>
    <w:panose1 w:val="02020502070401020303"/>
    <w:charset w:val="00"/>
    <w:family w:val="roman"/>
    <w:pitch w:val="variable"/>
    <w:sig w:usb0="80000067" w:usb1="02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654422774"/>
      <w:docPartObj>
        <w:docPartGallery w:val="Page Numbers (Bottom of Page)"/>
        <w:docPartUnique/>
      </w:docPartObj>
    </w:sdtPr>
    <w:sdtEndPr>
      <w:rPr>
        <w:rStyle w:val="Numrodepage"/>
      </w:rPr>
    </w:sdtEndPr>
    <w:sdtContent>
      <w:p w14:paraId="4C5D7B48" w14:textId="77777777" w:rsidR="00B65A35" w:rsidRDefault="00B65A35" w:rsidP="00B65A3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94F5DC9" w14:textId="77777777" w:rsidR="00B65A35" w:rsidRDefault="00B65A3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323824589"/>
      <w:docPartObj>
        <w:docPartGallery w:val="Page Numbers (Bottom of Page)"/>
        <w:docPartUnique/>
      </w:docPartObj>
    </w:sdtPr>
    <w:sdtEndPr>
      <w:rPr>
        <w:rStyle w:val="Numrodepage"/>
      </w:rPr>
    </w:sdtEndPr>
    <w:sdtContent>
      <w:p w14:paraId="543F8A58" w14:textId="7CD3DBBA" w:rsidR="00B65A35" w:rsidRDefault="00B65A35" w:rsidP="00852109">
        <w:pPr>
          <w:pStyle w:val="Pieddepage"/>
          <w:framePr w:wrap="none" w:vAnchor="text" w:hAnchor="margin" w:xAlign="center" w:y="324"/>
          <w:rPr>
            <w:rStyle w:val="Numrodepage"/>
          </w:rPr>
        </w:pPr>
        <w:r w:rsidRPr="00B61B7A">
          <w:rPr>
            <w:rStyle w:val="Numrodepage"/>
            <w:rFonts w:ascii="Futura Medium" w:hAnsi="Futura Medium" w:cs="Futura Medium" w:hint="cs"/>
            <w:sz w:val="16"/>
            <w:szCs w:val="16"/>
          </w:rPr>
          <w:fldChar w:fldCharType="begin"/>
        </w:r>
        <w:r w:rsidRPr="00B61B7A">
          <w:rPr>
            <w:rStyle w:val="Numrodepage"/>
            <w:rFonts w:ascii="Futura Medium" w:hAnsi="Futura Medium" w:cs="Futura Medium" w:hint="cs"/>
            <w:sz w:val="16"/>
            <w:szCs w:val="16"/>
          </w:rPr>
          <w:instrText xml:space="preserve"> PAGE </w:instrText>
        </w:r>
        <w:r w:rsidRPr="00B61B7A">
          <w:rPr>
            <w:rStyle w:val="Numrodepage"/>
            <w:rFonts w:ascii="Futura Medium" w:hAnsi="Futura Medium" w:cs="Futura Medium" w:hint="cs"/>
            <w:sz w:val="16"/>
            <w:szCs w:val="16"/>
          </w:rPr>
          <w:fldChar w:fldCharType="separate"/>
        </w:r>
        <w:r w:rsidR="001C4E68">
          <w:rPr>
            <w:rStyle w:val="Numrodepage"/>
            <w:rFonts w:ascii="Futura Medium" w:hAnsi="Futura Medium" w:cs="Futura Medium"/>
            <w:noProof/>
            <w:sz w:val="16"/>
            <w:szCs w:val="16"/>
          </w:rPr>
          <w:t>1</w:t>
        </w:r>
        <w:r w:rsidRPr="00B61B7A">
          <w:rPr>
            <w:rStyle w:val="Numrodepage"/>
            <w:rFonts w:ascii="Futura Medium" w:hAnsi="Futura Medium" w:cs="Futura Medium" w:hint="cs"/>
            <w:sz w:val="16"/>
            <w:szCs w:val="16"/>
          </w:rPr>
          <w:fldChar w:fldCharType="end"/>
        </w:r>
        <w:r w:rsidR="00024268">
          <w:rPr>
            <w:rStyle w:val="Numrodepage"/>
            <w:rFonts w:ascii="Futura Medium" w:hAnsi="Futura Medium" w:cs="Futura Medium"/>
            <w:sz w:val="16"/>
            <w:szCs w:val="16"/>
          </w:rPr>
          <w:t>/</w:t>
        </w:r>
        <w:r w:rsidR="005425C3">
          <w:rPr>
            <w:rStyle w:val="Numrodepage"/>
            <w:rFonts w:ascii="Futura Medium" w:hAnsi="Futura Medium" w:cs="Futura Medium"/>
            <w:sz w:val="16"/>
            <w:szCs w:val="16"/>
          </w:rPr>
          <w:t>7</w:t>
        </w:r>
      </w:p>
    </w:sdtContent>
  </w:sdt>
  <w:p w14:paraId="24AB2FC8" w14:textId="77777777" w:rsidR="00852109" w:rsidRDefault="0085210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77193E" w14:textId="77777777" w:rsidR="00D404AB" w:rsidRDefault="00D404AB" w:rsidP="0081793B">
      <w:pPr>
        <w:spacing w:after="0" w:line="240" w:lineRule="auto"/>
      </w:pPr>
      <w:r>
        <w:separator/>
      </w:r>
    </w:p>
  </w:footnote>
  <w:footnote w:type="continuationSeparator" w:id="0">
    <w:p w14:paraId="58501823" w14:textId="77777777" w:rsidR="00D404AB" w:rsidRDefault="00D404AB" w:rsidP="008179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4DBF3" w14:textId="0F325D63" w:rsidR="00B65A35" w:rsidRPr="001B776C" w:rsidRDefault="001B776C" w:rsidP="004F5685">
    <w:pPr>
      <w:pStyle w:val="En-tte"/>
      <w:numPr>
        <w:ilvl w:val="0"/>
        <w:numId w:val="1"/>
      </w:numPr>
      <w:rPr>
        <w:rFonts w:ascii="Futura Medium" w:hAnsi="Futura Medium" w:cs="Futura Medium"/>
        <w:sz w:val="16"/>
        <w:szCs w:val="16"/>
        <w:lang w:val="en-US"/>
      </w:rPr>
    </w:pPr>
    <w:r w:rsidRPr="001B776C">
      <w:rPr>
        <w:rFonts w:ascii="Futura Medium" w:hAnsi="Futura Medium" w:cs="Futura Medium"/>
        <w:sz w:val="16"/>
        <w:szCs w:val="16"/>
        <w:lang w:val="en-US"/>
      </w:rPr>
      <w:t>Agathe</w:t>
    </w:r>
    <w:r w:rsidR="00E7003B" w:rsidRPr="001B776C">
      <w:rPr>
        <w:rFonts w:ascii="Futura Medium" w:hAnsi="Futura Medium" w:cs="Futura Medium"/>
        <w:sz w:val="16"/>
        <w:szCs w:val="16"/>
        <w:lang w:val="en-US"/>
      </w:rPr>
      <w:t xml:space="preserve"> </w:t>
    </w:r>
    <w:r>
      <w:rPr>
        <w:rFonts w:ascii="Futura Medium" w:hAnsi="Futura Medium" w:cs="Futura Medium"/>
        <w:sz w:val="16"/>
        <w:szCs w:val="16"/>
        <w:lang w:val="en-US"/>
      </w:rPr>
      <w:t>GEGOUX et Calvine MADODE</w:t>
    </w:r>
    <w:r w:rsidR="00E7003B" w:rsidRPr="001B776C">
      <w:rPr>
        <w:rFonts w:ascii="Futura Medium" w:hAnsi="Futura Medium" w:cs="Futura Medium"/>
        <w:sz w:val="16"/>
        <w:szCs w:val="16"/>
        <w:lang w:val="en-US"/>
      </w:rPr>
      <w:t xml:space="preserve"> </w:t>
    </w:r>
    <w:r w:rsidR="00856CB7" w:rsidRPr="001B776C">
      <w:rPr>
        <w:rFonts w:ascii="Futura Medium" w:hAnsi="Futura Medium" w:cs="Futura Medium"/>
        <w:sz w:val="16"/>
        <w:szCs w:val="16"/>
        <w:lang w:val="en-US"/>
      </w:rPr>
      <w:t>–</w:t>
    </w:r>
    <w:r w:rsidR="00B65A35" w:rsidRPr="001B776C">
      <w:rPr>
        <w:rFonts w:ascii="Futura Medium" w:hAnsi="Futura Medium" w:cs="Futura Medium" w:hint="cs"/>
        <w:sz w:val="16"/>
        <w:szCs w:val="16"/>
        <w:lang w:val="en-US"/>
      </w:rPr>
      <w:t xml:space="preserve"> M</w:t>
    </w:r>
    <w:r w:rsidR="00856CB7" w:rsidRPr="001B776C">
      <w:rPr>
        <w:rFonts w:ascii="Futura Medium" w:hAnsi="Futura Medium" w:cs="Futura Medium"/>
        <w:sz w:val="16"/>
        <w:szCs w:val="16"/>
        <w:lang w:val="en-US"/>
      </w:rPr>
      <w:t xml:space="preserve">aster II </w:t>
    </w:r>
    <w:r w:rsidR="00B65A35" w:rsidRPr="001B776C">
      <w:rPr>
        <w:rFonts w:ascii="Futura Medium" w:hAnsi="Futura Medium" w:cs="Futura Medium" w:hint="cs"/>
        <w:sz w:val="16"/>
        <w:szCs w:val="16"/>
        <w:lang w:val="en-US"/>
      </w:rPr>
      <w:t xml:space="preserve">DJCE Nancy </w:t>
    </w:r>
    <w:r w:rsidR="00E7003B" w:rsidRPr="001B776C">
      <w:rPr>
        <w:rFonts w:ascii="Futura Medium" w:hAnsi="Futura Medium" w:cs="Futura Medium"/>
        <w:sz w:val="16"/>
        <w:szCs w:val="16"/>
        <w:lang w:val="en-US"/>
      </w:rPr>
      <w:t xml:space="preserve">– Promotion </w:t>
    </w:r>
    <w:r w:rsidR="00024268" w:rsidRPr="001B776C">
      <w:rPr>
        <w:rFonts w:ascii="Futura Medium" w:hAnsi="Futura Medium" w:cs="Futura Medium"/>
        <w:sz w:val="16"/>
        <w:szCs w:val="16"/>
        <w:lang w:val="en-US"/>
      </w:rPr>
      <w:t>2020-2021</w:t>
    </w:r>
  </w:p>
  <w:p w14:paraId="4D56C840" w14:textId="77777777" w:rsidR="00EC30C8" w:rsidRPr="001B776C" w:rsidRDefault="00EC30C8" w:rsidP="00EC30C8">
    <w:pPr>
      <w:pStyle w:val="En-tte"/>
      <w:ind w:left="720"/>
      <w:rPr>
        <w:rFonts w:ascii="Futura Medium" w:hAnsi="Futura Medium" w:cs="Futura Medium"/>
        <w:sz w:val="16"/>
        <w:szCs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B3231"/>
    <w:multiLevelType w:val="hybridMultilevel"/>
    <w:tmpl w:val="9820A34E"/>
    <w:lvl w:ilvl="0" w:tplc="040C0003">
      <w:start w:val="1"/>
      <w:numFmt w:val="bullet"/>
      <w:lvlText w:val="o"/>
      <w:lvlJc w:val="left"/>
      <w:pPr>
        <w:ind w:left="1428" w:hanging="360"/>
      </w:pPr>
      <w:rPr>
        <w:rFonts w:ascii="Courier New" w:hAnsi="Courier New" w:cs="Courier New" w:hint="default"/>
      </w:rPr>
    </w:lvl>
    <w:lvl w:ilvl="1" w:tplc="040C0003">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07987ED6"/>
    <w:multiLevelType w:val="hybridMultilevel"/>
    <w:tmpl w:val="37AE84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292A90"/>
    <w:multiLevelType w:val="hybridMultilevel"/>
    <w:tmpl w:val="2E025F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05083F"/>
    <w:multiLevelType w:val="multilevel"/>
    <w:tmpl w:val="014E7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755711"/>
    <w:multiLevelType w:val="hybridMultilevel"/>
    <w:tmpl w:val="C3FAD3A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BB3EE8"/>
    <w:multiLevelType w:val="hybridMultilevel"/>
    <w:tmpl w:val="1BFAC5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D50263"/>
    <w:multiLevelType w:val="multilevel"/>
    <w:tmpl w:val="59C41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7A12B9"/>
    <w:multiLevelType w:val="hybridMultilevel"/>
    <w:tmpl w:val="047A39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DF3AB1"/>
    <w:multiLevelType w:val="hybridMultilevel"/>
    <w:tmpl w:val="B468AB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4D21F5"/>
    <w:multiLevelType w:val="hybridMultilevel"/>
    <w:tmpl w:val="C5A6F6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0342F55"/>
    <w:multiLevelType w:val="multilevel"/>
    <w:tmpl w:val="01E6248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Wingdings" w:eastAsia="Times New Roman" w:hAnsi="Wingding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BE2094"/>
    <w:multiLevelType w:val="multilevel"/>
    <w:tmpl w:val="1D5A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757E62"/>
    <w:multiLevelType w:val="hybridMultilevel"/>
    <w:tmpl w:val="901AA7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E960AA"/>
    <w:multiLevelType w:val="hybridMultilevel"/>
    <w:tmpl w:val="550E6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E036138"/>
    <w:multiLevelType w:val="hybridMultilevel"/>
    <w:tmpl w:val="C82A9BDA"/>
    <w:lvl w:ilvl="0" w:tplc="87C02FBC">
      <w:start w:val="1"/>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1B36BB6"/>
    <w:multiLevelType w:val="hybridMultilevel"/>
    <w:tmpl w:val="C5EEC0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6326A27"/>
    <w:multiLevelType w:val="hybridMultilevel"/>
    <w:tmpl w:val="554E1C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C926C16"/>
    <w:multiLevelType w:val="multilevel"/>
    <w:tmpl w:val="9E64D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B2697A"/>
    <w:multiLevelType w:val="hybridMultilevel"/>
    <w:tmpl w:val="7A408F34"/>
    <w:lvl w:ilvl="0" w:tplc="6532CF90">
      <w:start w:val="1"/>
      <w:numFmt w:val="bullet"/>
      <w:lvlText w:val="Ó"/>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52027F6"/>
    <w:multiLevelType w:val="multilevel"/>
    <w:tmpl w:val="623E6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9D7379"/>
    <w:multiLevelType w:val="hybridMultilevel"/>
    <w:tmpl w:val="724AED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9421284"/>
    <w:multiLevelType w:val="hybridMultilevel"/>
    <w:tmpl w:val="150A932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5C795237"/>
    <w:multiLevelType w:val="multilevel"/>
    <w:tmpl w:val="96BC25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317B71"/>
    <w:multiLevelType w:val="hybridMultilevel"/>
    <w:tmpl w:val="E5E626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99B24B1"/>
    <w:multiLevelType w:val="hybridMultilevel"/>
    <w:tmpl w:val="A22865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9D6B40"/>
    <w:multiLevelType w:val="hybridMultilevel"/>
    <w:tmpl w:val="8D8CC5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6A737CC7"/>
    <w:multiLevelType w:val="hybridMultilevel"/>
    <w:tmpl w:val="C6623AFC"/>
    <w:lvl w:ilvl="0" w:tplc="040C0001">
      <w:start w:val="1"/>
      <w:numFmt w:val="bullet"/>
      <w:lvlText w:val=""/>
      <w:lvlJc w:val="left"/>
      <w:pPr>
        <w:ind w:left="360" w:hanging="360"/>
      </w:pPr>
      <w:rPr>
        <w:rFonts w:ascii="Symbol" w:hAnsi="Symbol" w:hint="default"/>
      </w:rPr>
    </w:lvl>
    <w:lvl w:ilvl="1" w:tplc="52A26C00">
      <w:start w:val="13"/>
      <w:numFmt w:val="bullet"/>
      <w:lvlText w:val="·"/>
      <w:lvlJc w:val="left"/>
      <w:pPr>
        <w:ind w:left="1080" w:hanging="360"/>
      </w:pPr>
      <w:rPr>
        <w:rFonts w:ascii="Calibri" w:eastAsia="Times New Roman" w:hAnsi="Calibri"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77B816EA"/>
    <w:multiLevelType w:val="multilevel"/>
    <w:tmpl w:val="979E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B23962"/>
    <w:multiLevelType w:val="hybridMultilevel"/>
    <w:tmpl w:val="4F12FEB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8"/>
  </w:num>
  <w:num w:numId="2">
    <w:abstractNumId w:val="6"/>
  </w:num>
  <w:num w:numId="3">
    <w:abstractNumId w:val="19"/>
  </w:num>
  <w:num w:numId="4">
    <w:abstractNumId w:val="3"/>
  </w:num>
  <w:num w:numId="5">
    <w:abstractNumId w:val="21"/>
  </w:num>
  <w:num w:numId="6">
    <w:abstractNumId w:val="26"/>
  </w:num>
  <w:num w:numId="7">
    <w:abstractNumId w:val="0"/>
  </w:num>
  <w:num w:numId="8">
    <w:abstractNumId w:val="22"/>
  </w:num>
  <w:num w:numId="9">
    <w:abstractNumId w:val="1"/>
  </w:num>
  <w:num w:numId="10">
    <w:abstractNumId w:val="11"/>
  </w:num>
  <w:num w:numId="11">
    <w:abstractNumId w:val="27"/>
  </w:num>
  <w:num w:numId="12">
    <w:abstractNumId w:val="17"/>
  </w:num>
  <w:num w:numId="13">
    <w:abstractNumId w:val="10"/>
  </w:num>
  <w:num w:numId="14">
    <w:abstractNumId w:val="12"/>
  </w:num>
  <w:num w:numId="15">
    <w:abstractNumId w:val="14"/>
  </w:num>
  <w:num w:numId="16">
    <w:abstractNumId w:val="25"/>
  </w:num>
  <w:num w:numId="17">
    <w:abstractNumId w:val="4"/>
  </w:num>
  <w:num w:numId="18">
    <w:abstractNumId w:val="28"/>
  </w:num>
  <w:num w:numId="19">
    <w:abstractNumId w:val="5"/>
  </w:num>
  <w:num w:numId="20">
    <w:abstractNumId w:val="7"/>
  </w:num>
  <w:num w:numId="21">
    <w:abstractNumId w:val="15"/>
  </w:num>
  <w:num w:numId="22">
    <w:abstractNumId w:val="2"/>
  </w:num>
  <w:num w:numId="23">
    <w:abstractNumId w:val="20"/>
  </w:num>
  <w:num w:numId="24">
    <w:abstractNumId w:val="8"/>
  </w:num>
  <w:num w:numId="25">
    <w:abstractNumId w:val="24"/>
  </w:num>
  <w:num w:numId="26">
    <w:abstractNumId w:val="13"/>
  </w:num>
  <w:num w:numId="27">
    <w:abstractNumId w:val="9"/>
  </w:num>
  <w:num w:numId="28">
    <w:abstractNumId w:val="23"/>
  </w:num>
  <w:num w:numId="29">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068D"/>
    <w:rsid w:val="00000DED"/>
    <w:rsid w:val="0002232E"/>
    <w:rsid w:val="00024268"/>
    <w:rsid w:val="000559F7"/>
    <w:rsid w:val="000621F0"/>
    <w:rsid w:val="000626CC"/>
    <w:rsid w:val="00063D27"/>
    <w:rsid w:val="00070814"/>
    <w:rsid w:val="00077222"/>
    <w:rsid w:val="000A7E9C"/>
    <w:rsid w:val="000D1699"/>
    <w:rsid w:val="00111797"/>
    <w:rsid w:val="001426BC"/>
    <w:rsid w:val="00154B8C"/>
    <w:rsid w:val="001748B9"/>
    <w:rsid w:val="001764F9"/>
    <w:rsid w:val="001A37FB"/>
    <w:rsid w:val="001B2CA6"/>
    <w:rsid w:val="001B776C"/>
    <w:rsid w:val="001C4E68"/>
    <w:rsid w:val="001C7808"/>
    <w:rsid w:val="00207864"/>
    <w:rsid w:val="002078A4"/>
    <w:rsid w:val="00226E46"/>
    <w:rsid w:val="002321DB"/>
    <w:rsid w:val="00274DBD"/>
    <w:rsid w:val="00285E5C"/>
    <w:rsid w:val="00293D8D"/>
    <w:rsid w:val="002B4BCC"/>
    <w:rsid w:val="003046CC"/>
    <w:rsid w:val="00313029"/>
    <w:rsid w:val="0033049A"/>
    <w:rsid w:val="00363EB4"/>
    <w:rsid w:val="00387CC0"/>
    <w:rsid w:val="003A42BD"/>
    <w:rsid w:val="003D6C27"/>
    <w:rsid w:val="003E4182"/>
    <w:rsid w:val="004079FE"/>
    <w:rsid w:val="0041463A"/>
    <w:rsid w:val="00420ADF"/>
    <w:rsid w:val="0042665D"/>
    <w:rsid w:val="004365B0"/>
    <w:rsid w:val="00445D55"/>
    <w:rsid w:val="004469E3"/>
    <w:rsid w:val="00481932"/>
    <w:rsid w:val="004A16E7"/>
    <w:rsid w:val="004A3ADF"/>
    <w:rsid w:val="004A7226"/>
    <w:rsid w:val="004E510B"/>
    <w:rsid w:val="004F5685"/>
    <w:rsid w:val="00500FF5"/>
    <w:rsid w:val="00510A5D"/>
    <w:rsid w:val="005425C3"/>
    <w:rsid w:val="00547C9D"/>
    <w:rsid w:val="00557F26"/>
    <w:rsid w:val="00582E7C"/>
    <w:rsid w:val="00590A1C"/>
    <w:rsid w:val="00592667"/>
    <w:rsid w:val="00597D88"/>
    <w:rsid w:val="005B0A32"/>
    <w:rsid w:val="005B5132"/>
    <w:rsid w:val="005C4248"/>
    <w:rsid w:val="005C47B0"/>
    <w:rsid w:val="005C6703"/>
    <w:rsid w:val="005D16B2"/>
    <w:rsid w:val="005F0F23"/>
    <w:rsid w:val="00615F50"/>
    <w:rsid w:val="0061759B"/>
    <w:rsid w:val="00692247"/>
    <w:rsid w:val="0069692E"/>
    <w:rsid w:val="006B3F63"/>
    <w:rsid w:val="006D6917"/>
    <w:rsid w:val="006E24F6"/>
    <w:rsid w:val="006E33CB"/>
    <w:rsid w:val="006E6E98"/>
    <w:rsid w:val="006F1F08"/>
    <w:rsid w:val="006F7919"/>
    <w:rsid w:val="00721C94"/>
    <w:rsid w:val="007243FB"/>
    <w:rsid w:val="00742FAA"/>
    <w:rsid w:val="00787A3A"/>
    <w:rsid w:val="00787A88"/>
    <w:rsid w:val="007971A5"/>
    <w:rsid w:val="007D3960"/>
    <w:rsid w:val="007E4256"/>
    <w:rsid w:val="007E7DBD"/>
    <w:rsid w:val="0081793B"/>
    <w:rsid w:val="008337D8"/>
    <w:rsid w:val="00834A47"/>
    <w:rsid w:val="00852109"/>
    <w:rsid w:val="00856CB7"/>
    <w:rsid w:val="00886B19"/>
    <w:rsid w:val="00895EF4"/>
    <w:rsid w:val="008A2772"/>
    <w:rsid w:val="008B0807"/>
    <w:rsid w:val="008D7108"/>
    <w:rsid w:val="00904EEE"/>
    <w:rsid w:val="00912C21"/>
    <w:rsid w:val="009175BD"/>
    <w:rsid w:val="00957F49"/>
    <w:rsid w:val="00965F01"/>
    <w:rsid w:val="00981254"/>
    <w:rsid w:val="00981677"/>
    <w:rsid w:val="00984CF8"/>
    <w:rsid w:val="00993443"/>
    <w:rsid w:val="009966FC"/>
    <w:rsid w:val="009A7EDE"/>
    <w:rsid w:val="009B3B2E"/>
    <w:rsid w:val="009C241E"/>
    <w:rsid w:val="009C3900"/>
    <w:rsid w:val="009E51D6"/>
    <w:rsid w:val="00A451C9"/>
    <w:rsid w:val="00A51BE2"/>
    <w:rsid w:val="00A832DA"/>
    <w:rsid w:val="00A92C05"/>
    <w:rsid w:val="00A95020"/>
    <w:rsid w:val="00AA51F7"/>
    <w:rsid w:val="00B35C2F"/>
    <w:rsid w:val="00B4152E"/>
    <w:rsid w:val="00B6068D"/>
    <w:rsid w:val="00B61B7A"/>
    <w:rsid w:val="00B65A35"/>
    <w:rsid w:val="00B86F66"/>
    <w:rsid w:val="00B9415C"/>
    <w:rsid w:val="00BC7AED"/>
    <w:rsid w:val="00BD74E3"/>
    <w:rsid w:val="00BE63CD"/>
    <w:rsid w:val="00C01D79"/>
    <w:rsid w:val="00C51033"/>
    <w:rsid w:val="00C51E82"/>
    <w:rsid w:val="00C545C9"/>
    <w:rsid w:val="00C61A57"/>
    <w:rsid w:val="00C86981"/>
    <w:rsid w:val="00C87B1A"/>
    <w:rsid w:val="00CB1532"/>
    <w:rsid w:val="00CC1BC4"/>
    <w:rsid w:val="00D04C9D"/>
    <w:rsid w:val="00D30B3F"/>
    <w:rsid w:val="00D404AB"/>
    <w:rsid w:val="00D449F1"/>
    <w:rsid w:val="00D55527"/>
    <w:rsid w:val="00D7004B"/>
    <w:rsid w:val="00D70353"/>
    <w:rsid w:val="00D70C7B"/>
    <w:rsid w:val="00D756E7"/>
    <w:rsid w:val="00D873D0"/>
    <w:rsid w:val="00D87C86"/>
    <w:rsid w:val="00D87F4E"/>
    <w:rsid w:val="00D92BA5"/>
    <w:rsid w:val="00DC64D7"/>
    <w:rsid w:val="00DD0884"/>
    <w:rsid w:val="00E328BC"/>
    <w:rsid w:val="00E655F8"/>
    <w:rsid w:val="00E7003B"/>
    <w:rsid w:val="00EB0A75"/>
    <w:rsid w:val="00EB16F0"/>
    <w:rsid w:val="00EB7BE0"/>
    <w:rsid w:val="00EC30C8"/>
    <w:rsid w:val="00F10EDB"/>
    <w:rsid w:val="00F31B42"/>
    <w:rsid w:val="00F5131B"/>
    <w:rsid w:val="00FA243C"/>
    <w:rsid w:val="00FB1EB4"/>
    <w:rsid w:val="00FB5A4B"/>
    <w:rsid w:val="00FD7214"/>
    <w:rsid w:val="00FF3E1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88AB3B"/>
  <w15:docId w15:val="{4F9F3083-7CBF-8741-8BA9-E856D235E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68D"/>
  </w:style>
  <w:style w:type="paragraph" w:styleId="Titre1">
    <w:name w:val="heading 1"/>
    <w:basedOn w:val="Normal"/>
    <w:next w:val="Normal"/>
    <w:link w:val="Titre1Car"/>
    <w:uiPriority w:val="9"/>
    <w:qFormat/>
    <w:rsid w:val="00B6068D"/>
    <w:pPr>
      <w:pBdr>
        <w:bottom w:val="thinThickSmallGap" w:sz="12" w:space="1" w:color="817358" w:themeColor="accent2" w:themeShade="BF"/>
      </w:pBdr>
      <w:spacing w:before="400"/>
      <w:jc w:val="center"/>
      <w:outlineLvl w:val="0"/>
    </w:pPr>
    <w:rPr>
      <w:caps/>
      <w:color w:val="564D3B" w:themeColor="accent2" w:themeShade="80"/>
      <w:spacing w:val="20"/>
      <w:sz w:val="28"/>
      <w:szCs w:val="28"/>
    </w:rPr>
  </w:style>
  <w:style w:type="paragraph" w:styleId="Titre2">
    <w:name w:val="heading 2"/>
    <w:basedOn w:val="Normal"/>
    <w:next w:val="Normal"/>
    <w:link w:val="Titre2Car"/>
    <w:uiPriority w:val="9"/>
    <w:unhideWhenUsed/>
    <w:qFormat/>
    <w:rsid w:val="00B6068D"/>
    <w:pPr>
      <w:pBdr>
        <w:bottom w:val="single" w:sz="4" w:space="1" w:color="554C3A" w:themeColor="accent2" w:themeShade="7F"/>
      </w:pBdr>
      <w:spacing w:before="400"/>
      <w:jc w:val="center"/>
      <w:outlineLvl w:val="1"/>
    </w:pPr>
    <w:rPr>
      <w:caps/>
      <w:color w:val="564D3B" w:themeColor="accent2" w:themeShade="80"/>
      <w:spacing w:val="15"/>
      <w:sz w:val="24"/>
      <w:szCs w:val="24"/>
    </w:rPr>
  </w:style>
  <w:style w:type="paragraph" w:styleId="Titre3">
    <w:name w:val="heading 3"/>
    <w:basedOn w:val="Normal"/>
    <w:next w:val="Normal"/>
    <w:link w:val="Titre3Car"/>
    <w:uiPriority w:val="9"/>
    <w:unhideWhenUsed/>
    <w:qFormat/>
    <w:rsid w:val="00B6068D"/>
    <w:pPr>
      <w:pBdr>
        <w:top w:val="dotted" w:sz="4" w:space="1" w:color="554C3A" w:themeColor="accent2" w:themeShade="7F"/>
        <w:bottom w:val="dotted" w:sz="4" w:space="1" w:color="554C3A" w:themeColor="accent2" w:themeShade="7F"/>
      </w:pBdr>
      <w:spacing w:before="300"/>
      <w:jc w:val="center"/>
      <w:outlineLvl w:val="2"/>
    </w:pPr>
    <w:rPr>
      <w:caps/>
      <w:color w:val="554C3A" w:themeColor="accent2" w:themeShade="7F"/>
      <w:sz w:val="24"/>
      <w:szCs w:val="24"/>
    </w:rPr>
  </w:style>
  <w:style w:type="paragraph" w:styleId="Titre4">
    <w:name w:val="heading 4"/>
    <w:basedOn w:val="Normal"/>
    <w:next w:val="Normal"/>
    <w:link w:val="Titre4Car"/>
    <w:uiPriority w:val="9"/>
    <w:semiHidden/>
    <w:unhideWhenUsed/>
    <w:qFormat/>
    <w:rsid w:val="00B6068D"/>
    <w:pPr>
      <w:pBdr>
        <w:bottom w:val="dotted" w:sz="4" w:space="1" w:color="817358" w:themeColor="accent2" w:themeShade="BF"/>
      </w:pBdr>
      <w:spacing w:after="120"/>
      <w:jc w:val="center"/>
      <w:outlineLvl w:val="3"/>
    </w:pPr>
    <w:rPr>
      <w:caps/>
      <w:color w:val="554C3A" w:themeColor="accent2" w:themeShade="7F"/>
      <w:spacing w:val="10"/>
    </w:rPr>
  </w:style>
  <w:style w:type="paragraph" w:styleId="Titre5">
    <w:name w:val="heading 5"/>
    <w:basedOn w:val="Normal"/>
    <w:next w:val="Normal"/>
    <w:link w:val="Titre5Car"/>
    <w:uiPriority w:val="9"/>
    <w:semiHidden/>
    <w:unhideWhenUsed/>
    <w:qFormat/>
    <w:rsid w:val="00B6068D"/>
    <w:pPr>
      <w:spacing w:before="320" w:after="120"/>
      <w:jc w:val="center"/>
      <w:outlineLvl w:val="4"/>
    </w:pPr>
    <w:rPr>
      <w:caps/>
      <w:color w:val="554C3A" w:themeColor="accent2" w:themeShade="7F"/>
      <w:spacing w:val="10"/>
    </w:rPr>
  </w:style>
  <w:style w:type="paragraph" w:styleId="Titre6">
    <w:name w:val="heading 6"/>
    <w:basedOn w:val="Normal"/>
    <w:next w:val="Normal"/>
    <w:link w:val="Titre6Car"/>
    <w:uiPriority w:val="9"/>
    <w:semiHidden/>
    <w:unhideWhenUsed/>
    <w:qFormat/>
    <w:rsid w:val="00B6068D"/>
    <w:pPr>
      <w:spacing w:after="120"/>
      <w:jc w:val="center"/>
      <w:outlineLvl w:val="5"/>
    </w:pPr>
    <w:rPr>
      <w:caps/>
      <w:color w:val="817358" w:themeColor="accent2" w:themeShade="BF"/>
      <w:spacing w:val="10"/>
    </w:rPr>
  </w:style>
  <w:style w:type="paragraph" w:styleId="Titre7">
    <w:name w:val="heading 7"/>
    <w:basedOn w:val="Normal"/>
    <w:next w:val="Normal"/>
    <w:link w:val="Titre7Car"/>
    <w:uiPriority w:val="9"/>
    <w:semiHidden/>
    <w:unhideWhenUsed/>
    <w:qFormat/>
    <w:rsid w:val="00B6068D"/>
    <w:pPr>
      <w:spacing w:after="120"/>
      <w:jc w:val="center"/>
      <w:outlineLvl w:val="6"/>
    </w:pPr>
    <w:rPr>
      <w:i/>
      <w:iCs/>
      <w:caps/>
      <w:color w:val="817358" w:themeColor="accent2" w:themeShade="BF"/>
      <w:spacing w:val="10"/>
    </w:rPr>
  </w:style>
  <w:style w:type="paragraph" w:styleId="Titre8">
    <w:name w:val="heading 8"/>
    <w:basedOn w:val="Normal"/>
    <w:next w:val="Normal"/>
    <w:link w:val="Titre8Car"/>
    <w:uiPriority w:val="9"/>
    <w:semiHidden/>
    <w:unhideWhenUsed/>
    <w:qFormat/>
    <w:rsid w:val="00B6068D"/>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B6068D"/>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B6068D"/>
    <w:pPr>
      <w:pBdr>
        <w:top w:val="dotted" w:sz="2" w:space="1" w:color="564D3B" w:themeColor="accent2" w:themeShade="80"/>
        <w:bottom w:val="dotted" w:sz="2" w:space="6" w:color="564D3B" w:themeColor="accent2" w:themeShade="80"/>
      </w:pBdr>
      <w:spacing w:before="500" w:after="300" w:line="240" w:lineRule="auto"/>
      <w:jc w:val="center"/>
    </w:pPr>
    <w:rPr>
      <w:caps/>
      <w:color w:val="564D3B" w:themeColor="accent2" w:themeShade="80"/>
      <w:spacing w:val="50"/>
      <w:sz w:val="44"/>
      <w:szCs w:val="44"/>
    </w:rPr>
  </w:style>
  <w:style w:type="character" w:customStyle="1" w:styleId="TitreCar">
    <w:name w:val="Titre Car"/>
    <w:basedOn w:val="Policepardfaut"/>
    <w:link w:val="Titre"/>
    <w:uiPriority w:val="10"/>
    <w:rsid w:val="00B6068D"/>
    <w:rPr>
      <w:caps/>
      <w:color w:val="564D3B" w:themeColor="accent2" w:themeShade="80"/>
      <w:spacing w:val="50"/>
      <w:sz w:val="44"/>
      <w:szCs w:val="44"/>
    </w:rPr>
  </w:style>
  <w:style w:type="paragraph" w:styleId="Sous-titre">
    <w:name w:val="Subtitle"/>
    <w:basedOn w:val="Normal"/>
    <w:next w:val="Normal"/>
    <w:link w:val="Sous-titreCar"/>
    <w:uiPriority w:val="11"/>
    <w:qFormat/>
    <w:rsid w:val="00B6068D"/>
    <w:pPr>
      <w:spacing w:after="560" w:line="240" w:lineRule="auto"/>
      <w:jc w:val="center"/>
    </w:pPr>
    <w:rPr>
      <w:caps/>
      <w:spacing w:val="20"/>
      <w:sz w:val="18"/>
      <w:szCs w:val="18"/>
    </w:rPr>
  </w:style>
  <w:style w:type="character" w:customStyle="1" w:styleId="Sous-titreCar">
    <w:name w:val="Sous-titre Car"/>
    <w:basedOn w:val="Policepardfaut"/>
    <w:link w:val="Sous-titre"/>
    <w:uiPriority w:val="11"/>
    <w:rsid w:val="00B6068D"/>
    <w:rPr>
      <w:caps/>
      <w:spacing w:val="20"/>
      <w:sz w:val="18"/>
      <w:szCs w:val="18"/>
    </w:rPr>
  </w:style>
  <w:style w:type="paragraph" w:styleId="Citationintense">
    <w:name w:val="Intense Quote"/>
    <w:basedOn w:val="Normal"/>
    <w:next w:val="Normal"/>
    <w:link w:val="CitationintenseCar"/>
    <w:uiPriority w:val="30"/>
    <w:qFormat/>
    <w:rsid w:val="00B6068D"/>
    <w:pPr>
      <w:pBdr>
        <w:top w:val="dotted" w:sz="2" w:space="10" w:color="564D3B" w:themeColor="accent2" w:themeShade="80"/>
        <w:bottom w:val="dotted" w:sz="2" w:space="4" w:color="564D3B" w:themeColor="accent2" w:themeShade="80"/>
      </w:pBdr>
      <w:spacing w:before="160" w:line="300" w:lineRule="auto"/>
      <w:ind w:left="1440" w:right="1440"/>
    </w:pPr>
    <w:rPr>
      <w:caps/>
      <w:color w:val="554C3A" w:themeColor="accent2" w:themeShade="7F"/>
      <w:spacing w:val="5"/>
      <w:sz w:val="20"/>
      <w:szCs w:val="20"/>
    </w:rPr>
  </w:style>
  <w:style w:type="character" w:customStyle="1" w:styleId="CitationintenseCar">
    <w:name w:val="Citation intense Car"/>
    <w:basedOn w:val="Policepardfaut"/>
    <w:link w:val="Citationintense"/>
    <w:uiPriority w:val="30"/>
    <w:rsid w:val="00B6068D"/>
    <w:rPr>
      <w:caps/>
      <w:color w:val="554C3A" w:themeColor="accent2" w:themeShade="7F"/>
      <w:spacing w:val="5"/>
      <w:sz w:val="20"/>
      <w:szCs w:val="20"/>
    </w:rPr>
  </w:style>
  <w:style w:type="character" w:styleId="Titredulivre">
    <w:name w:val="Book Title"/>
    <w:uiPriority w:val="33"/>
    <w:qFormat/>
    <w:rsid w:val="00B6068D"/>
    <w:rPr>
      <w:caps/>
      <w:color w:val="554C3A" w:themeColor="accent2" w:themeShade="7F"/>
      <w:spacing w:val="5"/>
      <w:u w:color="554C3A" w:themeColor="accent2" w:themeShade="7F"/>
    </w:rPr>
  </w:style>
  <w:style w:type="paragraph" w:styleId="Paragraphedeliste">
    <w:name w:val="List Paragraph"/>
    <w:basedOn w:val="Normal"/>
    <w:uiPriority w:val="34"/>
    <w:qFormat/>
    <w:rsid w:val="00B6068D"/>
    <w:pPr>
      <w:ind w:left="720"/>
      <w:contextualSpacing/>
    </w:pPr>
  </w:style>
  <w:style w:type="character" w:customStyle="1" w:styleId="Titre1Car">
    <w:name w:val="Titre 1 Car"/>
    <w:basedOn w:val="Policepardfaut"/>
    <w:link w:val="Titre1"/>
    <w:uiPriority w:val="9"/>
    <w:rsid w:val="00B6068D"/>
    <w:rPr>
      <w:caps/>
      <w:color w:val="564D3B" w:themeColor="accent2" w:themeShade="80"/>
      <w:spacing w:val="20"/>
      <w:sz w:val="28"/>
      <w:szCs w:val="28"/>
    </w:rPr>
  </w:style>
  <w:style w:type="paragraph" w:customStyle="1" w:styleId="Style1">
    <w:name w:val="Style1"/>
    <w:basedOn w:val="Titre1"/>
    <w:qFormat/>
    <w:rsid w:val="00B6068D"/>
    <w:pPr>
      <w:spacing w:line="480" w:lineRule="auto"/>
    </w:pPr>
    <w:rPr>
      <w:rFonts w:ascii="Futura Medium" w:hAnsi="Futura Medium"/>
      <w:color w:val="C00000"/>
      <w:sz w:val="52"/>
    </w:rPr>
  </w:style>
  <w:style w:type="paragraph" w:styleId="Sansinterligne">
    <w:name w:val="No Spacing"/>
    <w:basedOn w:val="Normal"/>
    <w:link w:val="SansinterligneCar"/>
    <w:uiPriority w:val="1"/>
    <w:qFormat/>
    <w:rsid w:val="00B6068D"/>
    <w:pPr>
      <w:spacing w:after="0" w:line="240" w:lineRule="auto"/>
    </w:pPr>
  </w:style>
  <w:style w:type="character" w:customStyle="1" w:styleId="Titre2Car">
    <w:name w:val="Titre 2 Car"/>
    <w:basedOn w:val="Policepardfaut"/>
    <w:link w:val="Titre2"/>
    <w:uiPriority w:val="9"/>
    <w:rsid w:val="00B6068D"/>
    <w:rPr>
      <w:caps/>
      <w:color w:val="564D3B" w:themeColor="accent2" w:themeShade="80"/>
      <w:spacing w:val="15"/>
      <w:sz w:val="24"/>
      <w:szCs w:val="24"/>
    </w:rPr>
  </w:style>
  <w:style w:type="character" w:styleId="Accentuationlgre">
    <w:name w:val="Subtle Emphasis"/>
    <w:uiPriority w:val="19"/>
    <w:qFormat/>
    <w:rsid w:val="00B6068D"/>
    <w:rPr>
      <w:i/>
      <w:iCs/>
    </w:rPr>
  </w:style>
  <w:style w:type="character" w:styleId="lev">
    <w:name w:val="Strong"/>
    <w:uiPriority w:val="22"/>
    <w:qFormat/>
    <w:rsid w:val="00B6068D"/>
    <w:rPr>
      <w:b/>
      <w:bCs/>
      <w:color w:val="817358" w:themeColor="accent2" w:themeShade="BF"/>
      <w:spacing w:val="5"/>
    </w:rPr>
  </w:style>
  <w:style w:type="character" w:customStyle="1" w:styleId="Titre3Car">
    <w:name w:val="Titre 3 Car"/>
    <w:basedOn w:val="Policepardfaut"/>
    <w:link w:val="Titre3"/>
    <w:uiPriority w:val="9"/>
    <w:rsid w:val="00B6068D"/>
    <w:rPr>
      <w:caps/>
      <w:color w:val="554C3A" w:themeColor="accent2" w:themeShade="7F"/>
      <w:sz w:val="24"/>
      <w:szCs w:val="24"/>
    </w:rPr>
  </w:style>
  <w:style w:type="character" w:customStyle="1" w:styleId="Titre4Car">
    <w:name w:val="Titre 4 Car"/>
    <w:basedOn w:val="Policepardfaut"/>
    <w:link w:val="Titre4"/>
    <w:uiPriority w:val="9"/>
    <w:semiHidden/>
    <w:rsid w:val="00B6068D"/>
    <w:rPr>
      <w:caps/>
      <w:color w:val="554C3A" w:themeColor="accent2" w:themeShade="7F"/>
      <w:spacing w:val="10"/>
    </w:rPr>
  </w:style>
  <w:style w:type="character" w:customStyle="1" w:styleId="Titre5Car">
    <w:name w:val="Titre 5 Car"/>
    <w:basedOn w:val="Policepardfaut"/>
    <w:link w:val="Titre5"/>
    <w:uiPriority w:val="9"/>
    <w:semiHidden/>
    <w:rsid w:val="00B6068D"/>
    <w:rPr>
      <w:caps/>
      <w:color w:val="554C3A" w:themeColor="accent2" w:themeShade="7F"/>
      <w:spacing w:val="10"/>
    </w:rPr>
  </w:style>
  <w:style w:type="character" w:customStyle="1" w:styleId="Titre6Car">
    <w:name w:val="Titre 6 Car"/>
    <w:basedOn w:val="Policepardfaut"/>
    <w:link w:val="Titre6"/>
    <w:uiPriority w:val="9"/>
    <w:semiHidden/>
    <w:rsid w:val="00B6068D"/>
    <w:rPr>
      <w:caps/>
      <w:color w:val="817358" w:themeColor="accent2" w:themeShade="BF"/>
      <w:spacing w:val="10"/>
    </w:rPr>
  </w:style>
  <w:style w:type="character" w:customStyle="1" w:styleId="Titre7Car">
    <w:name w:val="Titre 7 Car"/>
    <w:basedOn w:val="Policepardfaut"/>
    <w:link w:val="Titre7"/>
    <w:uiPriority w:val="9"/>
    <w:semiHidden/>
    <w:rsid w:val="00B6068D"/>
    <w:rPr>
      <w:i/>
      <w:iCs/>
      <w:caps/>
      <w:color w:val="817358" w:themeColor="accent2" w:themeShade="BF"/>
      <w:spacing w:val="10"/>
    </w:rPr>
  </w:style>
  <w:style w:type="character" w:customStyle="1" w:styleId="Titre8Car">
    <w:name w:val="Titre 8 Car"/>
    <w:basedOn w:val="Policepardfaut"/>
    <w:link w:val="Titre8"/>
    <w:uiPriority w:val="9"/>
    <w:semiHidden/>
    <w:rsid w:val="00B6068D"/>
    <w:rPr>
      <w:caps/>
      <w:spacing w:val="10"/>
      <w:sz w:val="20"/>
      <w:szCs w:val="20"/>
    </w:rPr>
  </w:style>
  <w:style w:type="character" w:customStyle="1" w:styleId="Titre9Car">
    <w:name w:val="Titre 9 Car"/>
    <w:basedOn w:val="Policepardfaut"/>
    <w:link w:val="Titre9"/>
    <w:uiPriority w:val="9"/>
    <w:semiHidden/>
    <w:rsid w:val="00B6068D"/>
    <w:rPr>
      <w:i/>
      <w:iCs/>
      <w:caps/>
      <w:spacing w:val="10"/>
      <w:sz w:val="20"/>
      <w:szCs w:val="20"/>
    </w:rPr>
  </w:style>
  <w:style w:type="paragraph" w:styleId="Lgende">
    <w:name w:val="caption"/>
    <w:basedOn w:val="Normal"/>
    <w:next w:val="Normal"/>
    <w:uiPriority w:val="35"/>
    <w:semiHidden/>
    <w:unhideWhenUsed/>
    <w:qFormat/>
    <w:rsid w:val="00B6068D"/>
    <w:rPr>
      <w:caps/>
      <w:spacing w:val="10"/>
      <w:sz w:val="18"/>
      <w:szCs w:val="18"/>
    </w:rPr>
  </w:style>
  <w:style w:type="character" w:styleId="Accentuation">
    <w:name w:val="Emphasis"/>
    <w:uiPriority w:val="20"/>
    <w:qFormat/>
    <w:rsid w:val="00B6068D"/>
    <w:rPr>
      <w:caps/>
      <w:spacing w:val="5"/>
      <w:sz w:val="20"/>
      <w:szCs w:val="20"/>
    </w:rPr>
  </w:style>
  <w:style w:type="paragraph" w:styleId="Citation">
    <w:name w:val="Quote"/>
    <w:basedOn w:val="Normal"/>
    <w:next w:val="Normal"/>
    <w:link w:val="CitationCar"/>
    <w:uiPriority w:val="29"/>
    <w:qFormat/>
    <w:rsid w:val="00B6068D"/>
    <w:rPr>
      <w:i/>
      <w:iCs/>
    </w:rPr>
  </w:style>
  <w:style w:type="character" w:customStyle="1" w:styleId="CitationCar">
    <w:name w:val="Citation Car"/>
    <w:basedOn w:val="Policepardfaut"/>
    <w:link w:val="Citation"/>
    <w:uiPriority w:val="29"/>
    <w:rsid w:val="00B6068D"/>
    <w:rPr>
      <w:i/>
      <w:iCs/>
    </w:rPr>
  </w:style>
  <w:style w:type="character" w:styleId="Accentuationintense">
    <w:name w:val="Intense Emphasis"/>
    <w:uiPriority w:val="21"/>
    <w:qFormat/>
    <w:rsid w:val="00B6068D"/>
    <w:rPr>
      <w:i/>
      <w:iCs/>
      <w:caps/>
      <w:spacing w:val="10"/>
      <w:sz w:val="20"/>
      <w:szCs w:val="20"/>
    </w:rPr>
  </w:style>
  <w:style w:type="character" w:styleId="Rfrencelgre">
    <w:name w:val="Subtle Reference"/>
    <w:basedOn w:val="Policepardfaut"/>
    <w:uiPriority w:val="31"/>
    <w:qFormat/>
    <w:rsid w:val="00B6068D"/>
    <w:rPr>
      <w:rFonts w:asciiTheme="minorHAnsi" w:eastAsiaTheme="minorEastAsia" w:hAnsiTheme="minorHAnsi" w:cstheme="minorBidi"/>
      <w:i/>
      <w:iCs/>
      <w:color w:val="554C3A" w:themeColor="accent2" w:themeShade="7F"/>
    </w:rPr>
  </w:style>
  <w:style w:type="character" w:styleId="Rfrenceintense">
    <w:name w:val="Intense Reference"/>
    <w:uiPriority w:val="32"/>
    <w:qFormat/>
    <w:rsid w:val="00B6068D"/>
    <w:rPr>
      <w:rFonts w:asciiTheme="minorHAnsi" w:eastAsiaTheme="minorEastAsia" w:hAnsiTheme="minorHAnsi" w:cstheme="minorBidi"/>
      <w:b/>
      <w:bCs/>
      <w:i/>
      <w:iCs/>
      <w:color w:val="554C3A" w:themeColor="accent2" w:themeShade="7F"/>
    </w:rPr>
  </w:style>
  <w:style w:type="paragraph" w:styleId="En-ttedetabledesmatires">
    <w:name w:val="TOC Heading"/>
    <w:basedOn w:val="Titre1"/>
    <w:next w:val="Normal"/>
    <w:uiPriority w:val="39"/>
    <w:semiHidden/>
    <w:unhideWhenUsed/>
    <w:qFormat/>
    <w:rsid w:val="00B6068D"/>
    <w:pPr>
      <w:outlineLvl w:val="9"/>
    </w:pPr>
  </w:style>
  <w:style w:type="character" w:customStyle="1" w:styleId="SansinterligneCar">
    <w:name w:val="Sans interligne Car"/>
    <w:basedOn w:val="Policepardfaut"/>
    <w:link w:val="Sansinterligne"/>
    <w:uiPriority w:val="1"/>
    <w:rsid w:val="00B6068D"/>
  </w:style>
  <w:style w:type="paragraph" w:customStyle="1" w:styleId="PersonalName">
    <w:name w:val="Personal Name"/>
    <w:basedOn w:val="Titre"/>
    <w:rsid w:val="00B6068D"/>
    <w:rPr>
      <w:b/>
      <w:caps w:val="0"/>
      <w:color w:val="000000"/>
      <w:sz w:val="28"/>
      <w:szCs w:val="28"/>
    </w:rPr>
  </w:style>
  <w:style w:type="character" w:styleId="Lienhypertexte">
    <w:name w:val="Hyperlink"/>
    <w:basedOn w:val="Policepardfaut"/>
    <w:uiPriority w:val="99"/>
    <w:unhideWhenUsed/>
    <w:rsid w:val="001748B9"/>
    <w:rPr>
      <w:color w:val="0000FF"/>
      <w:u w:val="single"/>
    </w:rPr>
  </w:style>
  <w:style w:type="paragraph" w:styleId="En-tte">
    <w:name w:val="header"/>
    <w:basedOn w:val="Normal"/>
    <w:link w:val="En-tteCar"/>
    <w:uiPriority w:val="99"/>
    <w:unhideWhenUsed/>
    <w:rsid w:val="0081793B"/>
    <w:pPr>
      <w:tabs>
        <w:tab w:val="center" w:pos="4536"/>
        <w:tab w:val="right" w:pos="9072"/>
      </w:tabs>
      <w:spacing w:after="0" w:line="240" w:lineRule="auto"/>
    </w:pPr>
  </w:style>
  <w:style w:type="character" w:customStyle="1" w:styleId="En-tteCar">
    <w:name w:val="En-tête Car"/>
    <w:basedOn w:val="Policepardfaut"/>
    <w:link w:val="En-tte"/>
    <w:uiPriority w:val="99"/>
    <w:rsid w:val="0081793B"/>
  </w:style>
  <w:style w:type="paragraph" w:styleId="Pieddepage">
    <w:name w:val="footer"/>
    <w:basedOn w:val="Normal"/>
    <w:link w:val="PieddepageCar"/>
    <w:uiPriority w:val="99"/>
    <w:unhideWhenUsed/>
    <w:rsid w:val="0081793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1793B"/>
  </w:style>
  <w:style w:type="paragraph" w:styleId="Notedebasdepage">
    <w:name w:val="footnote text"/>
    <w:basedOn w:val="Normal"/>
    <w:link w:val="NotedebasdepageCar"/>
    <w:uiPriority w:val="99"/>
    <w:semiHidden/>
    <w:unhideWhenUsed/>
    <w:rsid w:val="001C780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C7808"/>
    <w:rPr>
      <w:sz w:val="20"/>
      <w:szCs w:val="20"/>
    </w:rPr>
  </w:style>
  <w:style w:type="character" w:styleId="Appelnotedebasdep">
    <w:name w:val="footnote reference"/>
    <w:basedOn w:val="Policepardfaut"/>
    <w:uiPriority w:val="99"/>
    <w:semiHidden/>
    <w:unhideWhenUsed/>
    <w:rsid w:val="001C7808"/>
    <w:rPr>
      <w:vertAlign w:val="superscript"/>
    </w:rPr>
  </w:style>
  <w:style w:type="paragraph" w:customStyle="1" w:styleId="paragraphe-western">
    <w:name w:val="paragraphe-western"/>
    <w:basedOn w:val="Normal"/>
    <w:rsid w:val="004E510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umero-de-paragraphe-western">
    <w:name w:val="numero-de-paragraphe-western"/>
    <w:basedOn w:val="Normal"/>
    <w:rsid w:val="004E510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Numrodepage">
    <w:name w:val="page number"/>
    <w:basedOn w:val="Policepardfaut"/>
    <w:uiPriority w:val="99"/>
    <w:semiHidden/>
    <w:unhideWhenUsed/>
    <w:rsid w:val="00B61B7A"/>
  </w:style>
  <w:style w:type="paragraph" w:styleId="NormalWeb">
    <w:name w:val="Normal (Web)"/>
    <w:basedOn w:val="Normal"/>
    <w:uiPriority w:val="99"/>
    <w:unhideWhenUsed/>
    <w:rsid w:val="00834A4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ffairetitle">
    <w:name w:val="affaire_title"/>
    <w:basedOn w:val="Policepardfaut"/>
    <w:rsid w:val="00D7004B"/>
  </w:style>
  <w:style w:type="character" w:customStyle="1" w:styleId="affairestatus">
    <w:name w:val="affaire_status"/>
    <w:basedOn w:val="Policepardfaut"/>
    <w:rsid w:val="00D7004B"/>
  </w:style>
  <w:style w:type="paragraph" w:customStyle="1" w:styleId="rich-list-item">
    <w:name w:val="rich-list-item"/>
    <w:basedOn w:val="Normal"/>
    <w:rsid w:val="00D7004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9A7EDE"/>
    <w:rPr>
      <w:color w:val="B6A394" w:themeColor="followedHyperlink"/>
      <w:u w:val="single"/>
    </w:rPr>
  </w:style>
  <w:style w:type="character" w:customStyle="1" w:styleId="Mentionnonrsolue1">
    <w:name w:val="Mention non résolue1"/>
    <w:basedOn w:val="Policepardfaut"/>
    <w:uiPriority w:val="99"/>
    <w:semiHidden/>
    <w:unhideWhenUsed/>
    <w:rsid w:val="00C86981"/>
    <w:rPr>
      <w:color w:val="605E5C"/>
      <w:shd w:val="clear" w:color="auto" w:fill="E1DFDD"/>
    </w:rPr>
  </w:style>
  <w:style w:type="paragraph" w:customStyle="1" w:styleId="tiquette">
    <w:name w:val="Étiquette"/>
    <w:rsid w:val="00590A1C"/>
    <w:pPr>
      <w:pBdr>
        <w:top w:val="nil"/>
        <w:left w:val="nil"/>
        <w:bottom w:val="nil"/>
        <w:right w:val="nil"/>
        <w:between w:val="nil"/>
        <w:bar w:val="nil"/>
      </w:pBdr>
      <w:spacing w:after="0" w:line="240" w:lineRule="auto"/>
      <w:jc w:val="center"/>
    </w:pPr>
    <w:rPr>
      <w:rFonts w:ascii="Baskerville" w:eastAsia="Arial Unicode MS" w:hAnsi="Baskerville" w:cs="Arial Unicode MS"/>
      <w:color w:val="FFFFFF"/>
      <w:sz w:val="36"/>
      <w:szCs w:val="36"/>
      <w:bdr w:val="nil"/>
      <w:lang w:eastAsia="fr-FR"/>
      <w14:textOutline w14:w="0" w14:cap="flat" w14:cmpd="sng" w14:algn="ctr">
        <w14:noFill/>
        <w14:prstDash w14:val="solid"/>
        <w14:bevel/>
      </w14:textOutline>
    </w:rPr>
  </w:style>
  <w:style w:type="paragraph" w:styleId="Textedebulles">
    <w:name w:val="Balloon Text"/>
    <w:basedOn w:val="Normal"/>
    <w:link w:val="TextedebullesCar"/>
    <w:uiPriority w:val="99"/>
    <w:semiHidden/>
    <w:unhideWhenUsed/>
    <w:rsid w:val="005B5132"/>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B5132"/>
    <w:rPr>
      <w:rFonts w:ascii="Lucida Grande" w:hAnsi="Lucida Grande" w:cs="Lucida Grande"/>
      <w:sz w:val="18"/>
      <w:szCs w:val="18"/>
    </w:rPr>
  </w:style>
  <w:style w:type="character" w:styleId="Mentionnonrsolue">
    <w:name w:val="Unresolved Mention"/>
    <w:basedOn w:val="Policepardfaut"/>
    <w:uiPriority w:val="99"/>
    <w:semiHidden/>
    <w:unhideWhenUsed/>
    <w:rsid w:val="001B77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70349">
      <w:bodyDiv w:val="1"/>
      <w:marLeft w:val="0"/>
      <w:marRight w:val="0"/>
      <w:marTop w:val="0"/>
      <w:marBottom w:val="0"/>
      <w:divBdr>
        <w:top w:val="none" w:sz="0" w:space="0" w:color="auto"/>
        <w:left w:val="none" w:sz="0" w:space="0" w:color="auto"/>
        <w:bottom w:val="none" w:sz="0" w:space="0" w:color="auto"/>
        <w:right w:val="none" w:sz="0" w:space="0" w:color="auto"/>
      </w:divBdr>
    </w:div>
    <w:div w:id="88890562">
      <w:bodyDiv w:val="1"/>
      <w:marLeft w:val="0"/>
      <w:marRight w:val="0"/>
      <w:marTop w:val="0"/>
      <w:marBottom w:val="0"/>
      <w:divBdr>
        <w:top w:val="none" w:sz="0" w:space="0" w:color="auto"/>
        <w:left w:val="none" w:sz="0" w:space="0" w:color="auto"/>
        <w:bottom w:val="none" w:sz="0" w:space="0" w:color="auto"/>
        <w:right w:val="none" w:sz="0" w:space="0" w:color="auto"/>
      </w:divBdr>
    </w:div>
    <w:div w:id="95517249">
      <w:bodyDiv w:val="1"/>
      <w:marLeft w:val="0"/>
      <w:marRight w:val="0"/>
      <w:marTop w:val="0"/>
      <w:marBottom w:val="0"/>
      <w:divBdr>
        <w:top w:val="none" w:sz="0" w:space="0" w:color="auto"/>
        <w:left w:val="none" w:sz="0" w:space="0" w:color="auto"/>
        <w:bottom w:val="none" w:sz="0" w:space="0" w:color="auto"/>
        <w:right w:val="none" w:sz="0" w:space="0" w:color="auto"/>
      </w:divBdr>
    </w:div>
    <w:div w:id="128060060">
      <w:bodyDiv w:val="1"/>
      <w:marLeft w:val="0"/>
      <w:marRight w:val="0"/>
      <w:marTop w:val="0"/>
      <w:marBottom w:val="0"/>
      <w:divBdr>
        <w:top w:val="none" w:sz="0" w:space="0" w:color="auto"/>
        <w:left w:val="none" w:sz="0" w:space="0" w:color="auto"/>
        <w:bottom w:val="none" w:sz="0" w:space="0" w:color="auto"/>
        <w:right w:val="none" w:sz="0" w:space="0" w:color="auto"/>
      </w:divBdr>
    </w:div>
    <w:div w:id="174223527">
      <w:bodyDiv w:val="1"/>
      <w:marLeft w:val="0"/>
      <w:marRight w:val="0"/>
      <w:marTop w:val="0"/>
      <w:marBottom w:val="0"/>
      <w:divBdr>
        <w:top w:val="none" w:sz="0" w:space="0" w:color="auto"/>
        <w:left w:val="none" w:sz="0" w:space="0" w:color="auto"/>
        <w:bottom w:val="none" w:sz="0" w:space="0" w:color="auto"/>
        <w:right w:val="none" w:sz="0" w:space="0" w:color="auto"/>
      </w:divBdr>
    </w:div>
    <w:div w:id="192696920">
      <w:bodyDiv w:val="1"/>
      <w:marLeft w:val="0"/>
      <w:marRight w:val="0"/>
      <w:marTop w:val="0"/>
      <w:marBottom w:val="0"/>
      <w:divBdr>
        <w:top w:val="none" w:sz="0" w:space="0" w:color="auto"/>
        <w:left w:val="none" w:sz="0" w:space="0" w:color="auto"/>
        <w:bottom w:val="none" w:sz="0" w:space="0" w:color="auto"/>
        <w:right w:val="none" w:sz="0" w:space="0" w:color="auto"/>
      </w:divBdr>
      <w:divsChild>
        <w:div w:id="1668706352">
          <w:marLeft w:val="660"/>
          <w:marRight w:val="0"/>
          <w:marTop w:val="0"/>
          <w:marBottom w:val="0"/>
          <w:divBdr>
            <w:top w:val="none" w:sz="0" w:space="0" w:color="auto"/>
            <w:left w:val="dotted" w:sz="6" w:space="0" w:color="808080"/>
            <w:bottom w:val="none" w:sz="0" w:space="0" w:color="auto"/>
            <w:right w:val="none" w:sz="0" w:space="0" w:color="auto"/>
          </w:divBdr>
          <w:divsChild>
            <w:div w:id="338508218">
              <w:marLeft w:val="0"/>
              <w:marRight w:val="0"/>
              <w:marTop w:val="0"/>
              <w:marBottom w:val="0"/>
              <w:divBdr>
                <w:top w:val="none" w:sz="0" w:space="0" w:color="auto"/>
                <w:left w:val="none" w:sz="0" w:space="0" w:color="auto"/>
                <w:bottom w:val="none" w:sz="0" w:space="0" w:color="auto"/>
                <w:right w:val="none" w:sz="0" w:space="0" w:color="auto"/>
              </w:divBdr>
              <w:divsChild>
                <w:div w:id="1134176116">
                  <w:marLeft w:val="0"/>
                  <w:marRight w:val="0"/>
                  <w:marTop w:val="0"/>
                  <w:marBottom w:val="0"/>
                  <w:divBdr>
                    <w:top w:val="none" w:sz="0" w:space="0" w:color="auto"/>
                    <w:left w:val="none" w:sz="0" w:space="0" w:color="auto"/>
                    <w:bottom w:val="none" w:sz="0" w:space="0" w:color="auto"/>
                    <w:right w:val="none" w:sz="0" w:space="0" w:color="auto"/>
                  </w:divBdr>
                </w:div>
              </w:divsChild>
            </w:div>
            <w:div w:id="1447190000">
              <w:marLeft w:val="0"/>
              <w:marRight w:val="0"/>
              <w:marTop w:val="0"/>
              <w:marBottom w:val="0"/>
              <w:divBdr>
                <w:top w:val="none" w:sz="0" w:space="0" w:color="auto"/>
                <w:left w:val="none" w:sz="0" w:space="0" w:color="auto"/>
                <w:bottom w:val="single" w:sz="6" w:space="4" w:color="EEEEEE"/>
                <w:right w:val="none" w:sz="0" w:space="0" w:color="auto"/>
              </w:divBdr>
              <w:divsChild>
                <w:div w:id="6948912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12569298">
      <w:bodyDiv w:val="1"/>
      <w:marLeft w:val="0"/>
      <w:marRight w:val="0"/>
      <w:marTop w:val="0"/>
      <w:marBottom w:val="0"/>
      <w:divBdr>
        <w:top w:val="none" w:sz="0" w:space="0" w:color="auto"/>
        <w:left w:val="none" w:sz="0" w:space="0" w:color="auto"/>
        <w:bottom w:val="none" w:sz="0" w:space="0" w:color="auto"/>
        <w:right w:val="none" w:sz="0" w:space="0" w:color="auto"/>
      </w:divBdr>
    </w:div>
    <w:div w:id="562520161">
      <w:bodyDiv w:val="1"/>
      <w:marLeft w:val="0"/>
      <w:marRight w:val="0"/>
      <w:marTop w:val="0"/>
      <w:marBottom w:val="0"/>
      <w:divBdr>
        <w:top w:val="none" w:sz="0" w:space="0" w:color="auto"/>
        <w:left w:val="none" w:sz="0" w:space="0" w:color="auto"/>
        <w:bottom w:val="none" w:sz="0" w:space="0" w:color="auto"/>
        <w:right w:val="none" w:sz="0" w:space="0" w:color="auto"/>
      </w:divBdr>
    </w:div>
    <w:div w:id="587888488">
      <w:bodyDiv w:val="1"/>
      <w:marLeft w:val="0"/>
      <w:marRight w:val="0"/>
      <w:marTop w:val="0"/>
      <w:marBottom w:val="0"/>
      <w:divBdr>
        <w:top w:val="none" w:sz="0" w:space="0" w:color="auto"/>
        <w:left w:val="none" w:sz="0" w:space="0" w:color="auto"/>
        <w:bottom w:val="none" w:sz="0" w:space="0" w:color="auto"/>
        <w:right w:val="none" w:sz="0" w:space="0" w:color="auto"/>
      </w:divBdr>
    </w:div>
    <w:div w:id="611133937">
      <w:bodyDiv w:val="1"/>
      <w:marLeft w:val="0"/>
      <w:marRight w:val="0"/>
      <w:marTop w:val="0"/>
      <w:marBottom w:val="0"/>
      <w:divBdr>
        <w:top w:val="none" w:sz="0" w:space="0" w:color="auto"/>
        <w:left w:val="none" w:sz="0" w:space="0" w:color="auto"/>
        <w:bottom w:val="none" w:sz="0" w:space="0" w:color="auto"/>
        <w:right w:val="none" w:sz="0" w:space="0" w:color="auto"/>
      </w:divBdr>
    </w:div>
    <w:div w:id="686640198">
      <w:bodyDiv w:val="1"/>
      <w:marLeft w:val="0"/>
      <w:marRight w:val="0"/>
      <w:marTop w:val="0"/>
      <w:marBottom w:val="0"/>
      <w:divBdr>
        <w:top w:val="none" w:sz="0" w:space="0" w:color="auto"/>
        <w:left w:val="none" w:sz="0" w:space="0" w:color="auto"/>
        <w:bottom w:val="none" w:sz="0" w:space="0" w:color="auto"/>
        <w:right w:val="none" w:sz="0" w:space="0" w:color="auto"/>
      </w:divBdr>
    </w:div>
    <w:div w:id="729184055">
      <w:bodyDiv w:val="1"/>
      <w:marLeft w:val="0"/>
      <w:marRight w:val="0"/>
      <w:marTop w:val="0"/>
      <w:marBottom w:val="0"/>
      <w:divBdr>
        <w:top w:val="none" w:sz="0" w:space="0" w:color="auto"/>
        <w:left w:val="none" w:sz="0" w:space="0" w:color="auto"/>
        <w:bottom w:val="none" w:sz="0" w:space="0" w:color="auto"/>
        <w:right w:val="none" w:sz="0" w:space="0" w:color="auto"/>
      </w:divBdr>
    </w:div>
    <w:div w:id="780882761">
      <w:bodyDiv w:val="1"/>
      <w:marLeft w:val="0"/>
      <w:marRight w:val="0"/>
      <w:marTop w:val="0"/>
      <w:marBottom w:val="0"/>
      <w:divBdr>
        <w:top w:val="none" w:sz="0" w:space="0" w:color="auto"/>
        <w:left w:val="none" w:sz="0" w:space="0" w:color="auto"/>
        <w:bottom w:val="none" w:sz="0" w:space="0" w:color="auto"/>
        <w:right w:val="none" w:sz="0" w:space="0" w:color="auto"/>
      </w:divBdr>
    </w:div>
    <w:div w:id="895117616">
      <w:bodyDiv w:val="1"/>
      <w:marLeft w:val="0"/>
      <w:marRight w:val="0"/>
      <w:marTop w:val="0"/>
      <w:marBottom w:val="0"/>
      <w:divBdr>
        <w:top w:val="none" w:sz="0" w:space="0" w:color="auto"/>
        <w:left w:val="none" w:sz="0" w:space="0" w:color="auto"/>
        <w:bottom w:val="none" w:sz="0" w:space="0" w:color="auto"/>
        <w:right w:val="none" w:sz="0" w:space="0" w:color="auto"/>
      </w:divBdr>
    </w:div>
    <w:div w:id="934289128">
      <w:bodyDiv w:val="1"/>
      <w:marLeft w:val="0"/>
      <w:marRight w:val="0"/>
      <w:marTop w:val="0"/>
      <w:marBottom w:val="0"/>
      <w:divBdr>
        <w:top w:val="none" w:sz="0" w:space="0" w:color="auto"/>
        <w:left w:val="none" w:sz="0" w:space="0" w:color="auto"/>
        <w:bottom w:val="none" w:sz="0" w:space="0" w:color="auto"/>
        <w:right w:val="none" w:sz="0" w:space="0" w:color="auto"/>
      </w:divBdr>
    </w:div>
    <w:div w:id="1057242419">
      <w:bodyDiv w:val="1"/>
      <w:marLeft w:val="0"/>
      <w:marRight w:val="0"/>
      <w:marTop w:val="0"/>
      <w:marBottom w:val="0"/>
      <w:divBdr>
        <w:top w:val="none" w:sz="0" w:space="0" w:color="auto"/>
        <w:left w:val="none" w:sz="0" w:space="0" w:color="auto"/>
        <w:bottom w:val="none" w:sz="0" w:space="0" w:color="auto"/>
        <w:right w:val="none" w:sz="0" w:space="0" w:color="auto"/>
      </w:divBdr>
    </w:div>
    <w:div w:id="1145507565">
      <w:bodyDiv w:val="1"/>
      <w:marLeft w:val="0"/>
      <w:marRight w:val="0"/>
      <w:marTop w:val="0"/>
      <w:marBottom w:val="0"/>
      <w:divBdr>
        <w:top w:val="none" w:sz="0" w:space="0" w:color="auto"/>
        <w:left w:val="none" w:sz="0" w:space="0" w:color="auto"/>
        <w:bottom w:val="none" w:sz="0" w:space="0" w:color="auto"/>
        <w:right w:val="none" w:sz="0" w:space="0" w:color="auto"/>
      </w:divBdr>
    </w:div>
    <w:div w:id="1155225299">
      <w:bodyDiv w:val="1"/>
      <w:marLeft w:val="0"/>
      <w:marRight w:val="0"/>
      <w:marTop w:val="0"/>
      <w:marBottom w:val="0"/>
      <w:divBdr>
        <w:top w:val="none" w:sz="0" w:space="0" w:color="auto"/>
        <w:left w:val="none" w:sz="0" w:space="0" w:color="auto"/>
        <w:bottom w:val="none" w:sz="0" w:space="0" w:color="auto"/>
        <w:right w:val="none" w:sz="0" w:space="0" w:color="auto"/>
      </w:divBdr>
    </w:div>
    <w:div w:id="1219365196">
      <w:bodyDiv w:val="1"/>
      <w:marLeft w:val="0"/>
      <w:marRight w:val="0"/>
      <w:marTop w:val="0"/>
      <w:marBottom w:val="0"/>
      <w:divBdr>
        <w:top w:val="none" w:sz="0" w:space="0" w:color="auto"/>
        <w:left w:val="none" w:sz="0" w:space="0" w:color="auto"/>
        <w:bottom w:val="none" w:sz="0" w:space="0" w:color="auto"/>
        <w:right w:val="none" w:sz="0" w:space="0" w:color="auto"/>
      </w:divBdr>
    </w:div>
    <w:div w:id="1271858782">
      <w:bodyDiv w:val="1"/>
      <w:marLeft w:val="0"/>
      <w:marRight w:val="0"/>
      <w:marTop w:val="0"/>
      <w:marBottom w:val="0"/>
      <w:divBdr>
        <w:top w:val="none" w:sz="0" w:space="0" w:color="auto"/>
        <w:left w:val="none" w:sz="0" w:space="0" w:color="auto"/>
        <w:bottom w:val="none" w:sz="0" w:space="0" w:color="auto"/>
        <w:right w:val="none" w:sz="0" w:space="0" w:color="auto"/>
      </w:divBdr>
    </w:div>
    <w:div w:id="1369527554">
      <w:bodyDiv w:val="1"/>
      <w:marLeft w:val="0"/>
      <w:marRight w:val="0"/>
      <w:marTop w:val="0"/>
      <w:marBottom w:val="0"/>
      <w:divBdr>
        <w:top w:val="none" w:sz="0" w:space="0" w:color="auto"/>
        <w:left w:val="none" w:sz="0" w:space="0" w:color="auto"/>
        <w:bottom w:val="none" w:sz="0" w:space="0" w:color="auto"/>
        <w:right w:val="none" w:sz="0" w:space="0" w:color="auto"/>
      </w:divBdr>
    </w:div>
    <w:div w:id="1370914512">
      <w:bodyDiv w:val="1"/>
      <w:marLeft w:val="0"/>
      <w:marRight w:val="0"/>
      <w:marTop w:val="0"/>
      <w:marBottom w:val="0"/>
      <w:divBdr>
        <w:top w:val="none" w:sz="0" w:space="0" w:color="auto"/>
        <w:left w:val="none" w:sz="0" w:space="0" w:color="auto"/>
        <w:bottom w:val="none" w:sz="0" w:space="0" w:color="auto"/>
        <w:right w:val="none" w:sz="0" w:space="0" w:color="auto"/>
      </w:divBdr>
    </w:div>
    <w:div w:id="1422875533">
      <w:bodyDiv w:val="1"/>
      <w:marLeft w:val="0"/>
      <w:marRight w:val="0"/>
      <w:marTop w:val="0"/>
      <w:marBottom w:val="0"/>
      <w:divBdr>
        <w:top w:val="none" w:sz="0" w:space="0" w:color="auto"/>
        <w:left w:val="none" w:sz="0" w:space="0" w:color="auto"/>
        <w:bottom w:val="none" w:sz="0" w:space="0" w:color="auto"/>
        <w:right w:val="none" w:sz="0" w:space="0" w:color="auto"/>
      </w:divBdr>
    </w:div>
    <w:div w:id="1478916823">
      <w:bodyDiv w:val="1"/>
      <w:marLeft w:val="0"/>
      <w:marRight w:val="0"/>
      <w:marTop w:val="0"/>
      <w:marBottom w:val="0"/>
      <w:divBdr>
        <w:top w:val="none" w:sz="0" w:space="0" w:color="auto"/>
        <w:left w:val="none" w:sz="0" w:space="0" w:color="auto"/>
        <w:bottom w:val="none" w:sz="0" w:space="0" w:color="auto"/>
        <w:right w:val="none" w:sz="0" w:space="0" w:color="auto"/>
      </w:divBdr>
    </w:div>
    <w:div w:id="1524636610">
      <w:bodyDiv w:val="1"/>
      <w:marLeft w:val="0"/>
      <w:marRight w:val="0"/>
      <w:marTop w:val="0"/>
      <w:marBottom w:val="0"/>
      <w:divBdr>
        <w:top w:val="none" w:sz="0" w:space="0" w:color="auto"/>
        <w:left w:val="none" w:sz="0" w:space="0" w:color="auto"/>
        <w:bottom w:val="none" w:sz="0" w:space="0" w:color="auto"/>
        <w:right w:val="none" w:sz="0" w:space="0" w:color="auto"/>
      </w:divBdr>
    </w:div>
    <w:div w:id="1556157390">
      <w:bodyDiv w:val="1"/>
      <w:marLeft w:val="0"/>
      <w:marRight w:val="0"/>
      <w:marTop w:val="0"/>
      <w:marBottom w:val="0"/>
      <w:divBdr>
        <w:top w:val="none" w:sz="0" w:space="0" w:color="auto"/>
        <w:left w:val="none" w:sz="0" w:space="0" w:color="auto"/>
        <w:bottom w:val="none" w:sz="0" w:space="0" w:color="auto"/>
        <w:right w:val="none" w:sz="0" w:space="0" w:color="auto"/>
      </w:divBdr>
    </w:div>
    <w:div w:id="1618371581">
      <w:bodyDiv w:val="1"/>
      <w:marLeft w:val="0"/>
      <w:marRight w:val="0"/>
      <w:marTop w:val="0"/>
      <w:marBottom w:val="0"/>
      <w:divBdr>
        <w:top w:val="none" w:sz="0" w:space="0" w:color="auto"/>
        <w:left w:val="none" w:sz="0" w:space="0" w:color="auto"/>
        <w:bottom w:val="none" w:sz="0" w:space="0" w:color="auto"/>
        <w:right w:val="none" w:sz="0" w:space="0" w:color="auto"/>
      </w:divBdr>
    </w:div>
    <w:div w:id="1705254409">
      <w:bodyDiv w:val="1"/>
      <w:marLeft w:val="0"/>
      <w:marRight w:val="0"/>
      <w:marTop w:val="0"/>
      <w:marBottom w:val="0"/>
      <w:divBdr>
        <w:top w:val="none" w:sz="0" w:space="0" w:color="auto"/>
        <w:left w:val="none" w:sz="0" w:space="0" w:color="auto"/>
        <w:bottom w:val="none" w:sz="0" w:space="0" w:color="auto"/>
        <w:right w:val="none" w:sz="0" w:space="0" w:color="auto"/>
      </w:divBdr>
    </w:div>
    <w:div w:id="1709453893">
      <w:bodyDiv w:val="1"/>
      <w:marLeft w:val="0"/>
      <w:marRight w:val="0"/>
      <w:marTop w:val="0"/>
      <w:marBottom w:val="0"/>
      <w:divBdr>
        <w:top w:val="none" w:sz="0" w:space="0" w:color="auto"/>
        <w:left w:val="none" w:sz="0" w:space="0" w:color="auto"/>
        <w:bottom w:val="none" w:sz="0" w:space="0" w:color="auto"/>
        <w:right w:val="none" w:sz="0" w:space="0" w:color="auto"/>
      </w:divBdr>
    </w:div>
    <w:div w:id="1768426993">
      <w:bodyDiv w:val="1"/>
      <w:marLeft w:val="0"/>
      <w:marRight w:val="0"/>
      <w:marTop w:val="0"/>
      <w:marBottom w:val="0"/>
      <w:divBdr>
        <w:top w:val="none" w:sz="0" w:space="0" w:color="auto"/>
        <w:left w:val="none" w:sz="0" w:space="0" w:color="auto"/>
        <w:bottom w:val="none" w:sz="0" w:space="0" w:color="auto"/>
        <w:right w:val="none" w:sz="0" w:space="0" w:color="auto"/>
      </w:divBdr>
    </w:div>
    <w:div w:id="1809736117">
      <w:bodyDiv w:val="1"/>
      <w:marLeft w:val="0"/>
      <w:marRight w:val="0"/>
      <w:marTop w:val="0"/>
      <w:marBottom w:val="0"/>
      <w:divBdr>
        <w:top w:val="none" w:sz="0" w:space="0" w:color="auto"/>
        <w:left w:val="none" w:sz="0" w:space="0" w:color="auto"/>
        <w:bottom w:val="none" w:sz="0" w:space="0" w:color="auto"/>
        <w:right w:val="none" w:sz="0" w:space="0" w:color="auto"/>
      </w:divBdr>
    </w:div>
    <w:div w:id="1825194796">
      <w:bodyDiv w:val="1"/>
      <w:marLeft w:val="0"/>
      <w:marRight w:val="0"/>
      <w:marTop w:val="0"/>
      <w:marBottom w:val="0"/>
      <w:divBdr>
        <w:top w:val="none" w:sz="0" w:space="0" w:color="auto"/>
        <w:left w:val="none" w:sz="0" w:space="0" w:color="auto"/>
        <w:bottom w:val="none" w:sz="0" w:space="0" w:color="auto"/>
        <w:right w:val="none" w:sz="0" w:space="0" w:color="auto"/>
      </w:divBdr>
    </w:div>
    <w:div w:id="1874884712">
      <w:bodyDiv w:val="1"/>
      <w:marLeft w:val="0"/>
      <w:marRight w:val="0"/>
      <w:marTop w:val="0"/>
      <w:marBottom w:val="0"/>
      <w:divBdr>
        <w:top w:val="none" w:sz="0" w:space="0" w:color="auto"/>
        <w:left w:val="none" w:sz="0" w:space="0" w:color="auto"/>
        <w:bottom w:val="none" w:sz="0" w:space="0" w:color="auto"/>
        <w:right w:val="none" w:sz="0" w:space="0" w:color="auto"/>
      </w:divBdr>
    </w:div>
    <w:div w:id="1878546744">
      <w:bodyDiv w:val="1"/>
      <w:marLeft w:val="0"/>
      <w:marRight w:val="0"/>
      <w:marTop w:val="0"/>
      <w:marBottom w:val="0"/>
      <w:divBdr>
        <w:top w:val="none" w:sz="0" w:space="0" w:color="auto"/>
        <w:left w:val="none" w:sz="0" w:space="0" w:color="auto"/>
        <w:bottom w:val="none" w:sz="0" w:space="0" w:color="auto"/>
        <w:right w:val="none" w:sz="0" w:space="0" w:color="auto"/>
      </w:divBdr>
      <w:divsChild>
        <w:div w:id="816805279">
          <w:marLeft w:val="660"/>
          <w:marRight w:val="0"/>
          <w:marTop w:val="0"/>
          <w:marBottom w:val="0"/>
          <w:divBdr>
            <w:top w:val="none" w:sz="0" w:space="0" w:color="auto"/>
            <w:left w:val="dotted" w:sz="6" w:space="0" w:color="808080"/>
            <w:bottom w:val="none" w:sz="0" w:space="0" w:color="auto"/>
            <w:right w:val="none" w:sz="0" w:space="0" w:color="auto"/>
          </w:divBdr>
          <w:divsChild>
            <w:div w:id="820929124">
              <w:marLeft w:val="0"/>
              <w:marRight w:val="0"/>
              <w:marTop w:val="0"/>
              <w:marBottom w:val="0"/>
              <w:divBdr>
                <w:top w:val="none" w:sz="0" w:space="0" w:color="auto"/>
                <w:left w:val="none" w:sz="0" w:space="0" w:color="auto"/>
                <w:bottom w:val="none" w:sz="0" w:space="0" w:color="auto"/>
                <w:right w:val="none" w:sz="0" w:space="0" w:color="auto"/>
              </w:divBdr>
              <w:divsChild>
                <w:div w:id="1916931548">
                  <w:marLeft w:val="0"/>
                  <w:marRight w:val="0"/>
                  <w:marTop w:val="0"/>
                  <w:marBottom w:val="0"/>
                  <w:divBdr>
                    <w:top w:val="none" w:sz="0" w:space="0" w:color="auto"/>
                    <w:left w:val="none" w:sz="0" w:space="0" w:color="auto"/>
                    <w:bottom w:val="none" w:sz="0" w:space="0" w:color="auto"/>
                    <w:right w:val="none" w:sz="0" w:space="0" w:color="auto"/>
                  </w:divBdr>
                </w:div>
              </w:divsChild>
            </w:div>
            <w:div w:id="1517814719">
              <w:marLeft w:val="0"/>
              <w:marRight w:val="0"/>
              <w:marTop w:val="0"/>
              <w:marBottom w:val="0"/>
              <w:divBdr>
                <w:top w:val="none" w:sz="0" w:space="0" w:color="auto"/>
                <w:left w:val="none" w:sz="0" w:space="0" w:color="auto"/>
                <w:bottom w:val="single" w:sz="6" w:space="4" w:color="EEEEEE"/>
                <w:right w:val="none" w:sz="0" w:space="0" w:color="auto"/>
              </w:divBdr>
              <w:divsChild>
                <w:div w:id="7700494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0918991">
      <w:bodyDiv w:val="1"/>
      <w:marLeft w:val="0"/>
      <w:marRight w:val="0"/>
      <w:marTop w:val="0"/>
      <w:marBottom w:val="0"/>
      <w:divBdr>
        <w:top w:val="none" w:sz="0" w:space="0" w:color="auto"/>
        <w:left w:val="none" w:sz="0" w:space="0" w:color="auto"/>
        <w:bottom w:val="none" w:sz="0" w:space="0" w:color="auto"/>
        <w:right w:val="none" w:sz="0" w:space="0" w:color="auto"/>
      </w:divBdr>
    </w:div>
    <w:div w:id="1945379832">
      <w:bodyDiv w:val="1"/>
      <w:marLeft w:val="0"/>
      <w:marRight w:val="0"/>
      <w:marTop w:val="0"/>
      <w:marBottom w:val="0"/>
      <w:divBdr>
        <w:top w:val="none" w:sz="0" w:space="0" w:color="auto"/>
        <w:left w:val="none" w:sz="0" w:space="0" w:color="auto"/>
        <w:bottom w:val="none" w:sz="0" w:space="0" w:color="auto"/>
        <w:right w:val="none" w:sz="0" w:space="0" w:color="auto"/>
      </w:divBdr>
    </w:div>
    <w:div w:id="1960454268">
      <w:bodyDiv w:val="1"/>
      <w:marLeft w:val="0"/>
      <w:marRight w:val="0"/>
      <w:marTop w:val="0"/>
      <w:marBottom w:val="0"/>
      <w:divBdr>
        <w:top w:val="none" w:sz="0" w:space="0" w:color="auto"/>
        <w:left w:val="none" w:sz="0" w:space="0" w:color="auto"/>
        <w:bottom w:val="none" w:sz="0" w:space="0" w:color="auto"/>
        <w:right w:val="none" w:sz="0" w:space="0" w:color="auto"/>
      </w:divBdr>
    </w:div>
    <w:div w:id="2024353984">
      <w:bodyDiv w:val="1"/>
      <w:marLeft w:val="0"/>
      <w:marRight w:val="0"/>
      <w:marTop w:val="0"/>
      <w:marBottom w:val="0"/>
      <w:divBdr>
        <w:top w:val="none" w:sz="0" w:space="0" w:color="auto"/>
        <w:left w:val="none" w:sz="0" w:space="0" w:color="auto"/>
        <w:bottom w:val="none" w:sz="0" w:space="0" w:color="auto"/>
        <w:right w:val="none" w:sz="0" w:space="0" w:color="auto"/>
      </w:divBdr>
    </w:div>
    <w:div w:id="210299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see.fr/fr/statistiques/5016913" TargetMode="External"/><Relationship Id="rId18" Type="http://schemas.openxmlformats.org/officeDocument/2006/relationships/hyperlink" Target="https://www.service-public.fr/particuliers/actualites/A14562"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lesechos-etudes.fr/news/2020/04/28/de-nouvelles-mesures-en-faveur-du-secteur-de-lhotellerie-et-de-la-restauration/" TargetMode="External"/><Relationship Id="rId7" Type="http://schemas.openxmlformats.org/officeDocument/2006/relationships/endnotes" Target="endnotes.xml"/><Relationship Id="rId12" Type="http://schemas.openxmlformats.org/officeDocument/2006/relationships/hyperlink" Target="https://www.franceinter.fr/les-defaillances-d-entreprises-au-plus-bas-mais-jusqu-a-quand" TargetMode="External"/><Relationship Id="rId17" Type="http://schemas.openxmlformats.org/officeDocument/2006/relationships/hyperlink" Target="https://www.economie.gouv.fr/covid19-soutien-entreprises/pret-garanti-par-leta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journaldunet.com/management/guide-du-management/1494521-fonds-de-solidarite-2021-le-formulaire-pour-mars-en-ligne-ce-20-avril/" TargetMode="External"/><Relationship Id="rId20" Type="http://schemas.openxmlformats.org/officeDocument/2006/relationships/hyperlink" Target="https://business.lesechos.fr/entrepreneurs/ressources-humaines/17180706-un-report-des-cotisations-sociales-dues-en-mars-342475.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legifrance.gouv.fr/jorf/id/JORFTEXT000043344793"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economie.gouv.fr/covid19-soutien-entreprises/delais-de-paiement-decheances-sociales-et-ou-fiscales-urssa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insee.fr/fr/statistiques/5231007" TargetMode="External"/><Relationship Id="rId22" Type="http://schemas.openxmlformats.org/officeDocument/2006/relationships/header" Target="header1.xml"/></Relationship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Grand événement">
  <a:themeElements>
    <a:clrScheme name="Grand événement">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Grand événement">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and événement">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blipFill>
      </a:bgFillStyleLst>
    </a:fmtScheme>
  </a:themeElements>
  <a:objectDefaults/>
  <a:extraClrSchemeLst/>
  <a:extLst>
    <a:ext uri="{05A4C25C-085E-4340-85A3-A5531E510DB2}">
      <thm15:themeFamily xmlns:thm15="http://schemas.microsoft.com/office/thememl/2012/main" name="Main Event" id="{AC372BB4-D83D-411E-B849-B641926BA760}" vid="{F1EFBDE3-1A95-4E3D-81AD-1F53D65BEA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B1316-4760-674E-9A83-5E6A0EE09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Pages>
  <Words>2517</Words>
  <Characters>13848</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Constant</dc:creator>
  <cp:keywords/>
  <dc:description/>
  <cp:lastModifiedBy>agathe gegoux</cp:lastModifiedBy>
  <cp:revision>99</cp:revision>
  <cp:lastPrinted>2020-04-24T18:26:00Z</cp:lastPrinted>
  <dcterms:created xsi:type="dcterms:W3CDTF">2020-10-07T14:03:00Z</dcterms:created>
  <dcterms:modified xsi:type="dcterms:W3CDTF">2021-04-26T13:49:00Z</dcterms:modified>
</cp:coreProperties>
</file>